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538D6" w14:textId="2797B42C" w:rsidR="00E649E8" w:rsidRPr="00E649E8" w:rsidRDefault="00E649E8" w:rsidP="00E649E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49E8">
        <w:rPr>
          <w:rFonts w:ascii="Times New Roman" w:hAnsi="Times New Roman" w:cs="Times New Roman"/>
          <w:b/>
          <w:bCs/>
          <w:sz w:val="28"/>
          <w:szCs w:val="28"/>
        </w:rPr>
        <w:t>Vasszécseny Község Önkormányzat Képviselő-testületének 7/2012. (III. 31.) önkormányzati rendelete</w:t>
      </w:r>
      <w:r w:rsidRPr="00E649E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E649E8">
        <w:rPr>
          <w:rFonts w:ascii="Times New Roman" w:hAnsi="Times New Roman" w:cs="Times New Roman"/>
          <w:b/>
          <w:bCs/>
          <w:sz w:val="28"/>
          <w:szCs w:val="28"/>
        </w:rPr>
        <w:t>az önkormányzati vagyonról és a vagyonnal való gazdálkodás egyes szabályairól</w:t>
      </w:r>
    </w:p>
    <w:p w14:paraId="74821798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sz w:val="24"/>
          <w:szCs w:val="24"/>
        </w:rPr>
        <w:t>Vasszécseny Község Önkormányzatának Képviselő-testülete Magyarország </w:t>
      </w:r>
      <w:hyperlink r:id="rId5" w:tgtFrame="_blank" w:history="1">
        <w:r w:rsidRPr="00E649E8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Alaptörvényének 32. cikk (2) bekezdés</w:t>
        </w:r>
      </w:hyperlink>
      <w:r w:rsidRPr="00E649E8">
        <w:rPr>
          <w:rFonts w:ascii="Times New Roman" w:hAnsi="Times New Roman" w:cs="Times New Roman"/>
          <w:sz w:val="24"/>
          <w:szCs w:val="24"/>
        </w:rPr>
        <w:t>ében meghatározott jogalkotói hatáskörében eljárva a nemzeti vagyonról szóló </w:t>
      </w:r>
      <w:hyperlink r:id="rId6" w:tgtFrame="_blank" w:history="1">
        <w:r w:rsidRPr="00E649E8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2011. évi CXCVI. törvény (a továbbiakban: </w:t>
        </w:r>
        <w:proofErr w:type="spellStart"/>
        <w:r w:rsidRPr="00E649E8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Nvt</w:t>
        </w:r>
        <w:proofErr w:type="spellEnd"/>
        <w:r w:rsidRPr="00E649E8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.) 5. § (2) bekezdés b)</w:t>
        </w:r>
      </w:hyperlink>
      <w:r w:rsidRPr="00E649E8">
        <w:rPr>
          <w:rFonts w:ascii="Times New Roman" w:hAnsi="Times New Roman" w:cs="Times New Roman"/>
          <w:sz w:val="24"/>
          <w:szCs w:val="24"/>
        </w:rPr>
        <w:t> és </w:t>
      </w:r>
      <w:hyperlink r:id="rId7" w:tgtFrame="_blank" w:history="1">
        <w:r w:rsidRPr="00E649E8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c) pont</w:t>
        </w:r>
      </w:hyperlink>
      <w:r w:rsidRPr="00E649E8">
        <w:rPr>
          <w:rFonts w:ascii="Times New Roman" w:hAnsi="Times New Roman" w:cs="Times New Roman"/>
          <w:sz w:val="24"/>
          <w:szCs w:val="24"/>
        </w:rPr>
        <w:t>jában, </w:t>
      </w:r>
      <w:hyperlink r:id="rId8" w:tgtFrame="_blank" w:history="1">
        <w:r w:rsidRPr="00E649E8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(4) bekezdés</w:t>
        </w:r>
      </w:hyperlink>
      <w:r w:rsidRPr="00E649E8">
        <w:rPr>
          <w:rFonts w:ascii="Times New Roman" w:hAnsi="Times New Roman" w:cs="Times New Roman"/>
          <w:sz w:val="24"/>
          <w:szCs w:val="24"/>
        </w:rPr>
        <w:t>ében, </w:t>
      </w:r>
      <w:hyperlink r:id="rId9" w:tgtFrame="_blank" w:history="1">
        <w:r w:rsidRPr="00E649E8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11. § (16) bekezdés</w:t>
        </w:r>
      </w:hyperlink>
      <w:r w:rsidRPr="00E649E8">
        <w:rPr>
          <w:rFonts w:ascii="Times New Roman" w:hAnsi="Times New Roman" w:cs="Times New Roman"/>
          <w:sz w:val="24"/>
          <w:szCs w:val="24"/>
        </w:rPr>
        <w:t>ében, </w:t>
      </w:r>
      <w:hyperlink r:id="rId10" w:tgtFrame="_blank" w:history="1">
        <w:r w:rsidRPr="00E649E8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13. § (1) bekezdés</w:t>
        </w:r>
      </w:hyperlink>
      <w:r w:rsidRPr="00E649E8">
        <w:rPr>
          <w:rFonts w:ascii="Times New Roman" w:hAnsi="Times New Roman" w:cs="Times New Roman"/>
          <w:sz w:val="24"/>
          <w:szCs w:val="24"/>
        </w:rPr>
        <w:t>ében, az államháztartásról szóló </w:t>
      </w:r>
      <w:hyperlink r:id="rId11" w:tgtFrame="_blank" w:history="1">
        <w:r w:rsidRPr="00E649E8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2011. évi CXCV. törvény 97. § (2) bekezdés</w:t>
        </w:r>
      </w:hyperlink>
      <w:r w:rsidRPr="00E649E8">
        <w:rPr>
          <w:rFonts w:ascii="Times New Roman" w:hAnsi="Times New Roman" w:cs="Times New Roman"/>
          <w:sz w:val="24"/>
          <w:szCs w:val="24"/>
        </w:rPr>
        <w:t>ében és Magyarország helyi Önkormányzatairól szóló </w:t>
      </w:r>
      <w:hyperlink r:id="rId12" w:tgtFrame="_blank" w:history="1">
        <w:r w:rsidRPr="00E649E8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2011. évi CLXXXIX. törvény 109. § (4) bekezdés</w:t>
        </w:r>
      </w:hyperlink>
      <w:r w:rsidRPr="00E649E8">
        <w:rPr>
          <w:rFonts w:ascii="Times New Roman" w:hAnsi="Times New Roman" w:cs="Times New Roman"/>
          <w:sz w:val="24"/>
          <w:szCs w:val="24"/>
        </w:rPr>
        <w:t>ében továbbá 143. § (4) bekezdésének i) pontjában foglalt felhatalmazás alapján a következőket rendeli el:</w:t>
      </w:r>
    </w:p>
    <w:p w14:paraId="3DD028B7" w14:textId="77777777" w:rsidR="00E649E8" w:rsidRPr="00E649E8" w:rsidRDefault="00E649E8" w:rsidP="00E649E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49E8">
        <w:rPr>
          <w:rFonts w:ascii="Times New Roman" w:hAnsi="Times New Roman" w:cs="Times New Roman"/>
          <w:b/>
          <w:bCs/>
          <w:sz w:val="24"/>
          <w:szCs w:val="24"/>
        </w:rPr>
        <w:t>A rendelet hatálya</w:t>
      </w:r>
    </w:p>
    <w:p w14:paraId="75B6D01D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proofErr w:type="gramStart"/>
      <w:r w:rsidRPr="00E649E8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E649E8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E649E8">
        <w:rPr>
          <w:rFonts w:ascii="Times New Roman" w:hAnsi="Times New Roman" w:cs="Times New Roman"/>
          <w:sz w:val="24"/>
          <w:szCs w:val="24"/>
        </w:rPr>
        <w:t>1) A rendelet hatálya kiterjed Vasszécseny Község Önkormányzata (a továbbiakban: Önkormányzat) tulajdonában lévő, illetve tulajdonába kerülő</w:t>
      </w:r>
    </w:p>
    <w:p w14:paraId="015AEE5C" w14:textId="77777777" w:rsidR="00E649E8" w:rsidRPr="00E649E8" w:rsidRDefault="00E649E8" w:rsidP="00E649E8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E649E8">
        <w:rPr>
          <w:rFonts w:ascii="Times New Roman" w:hAnsi="Times New Roman" w:cs="Times New Roman"/>
          <w:sz w:val="24"/>
          <w:szCs w:val="24"/>
        </w:rPr>
        <w:t> ingatlan és ingó vagyonra, valamint vagyoni értékű jogokra (a továbbiakban: ingó és ingatlan vagyon) továbbá</w:t>
      </w:r>
    </w:p>
    <w:p w14:paraId="187702C9" w14:textId="77777777" w:rsidR="00E649E8" w:rsidRPr="00E649E8" w:rsidRDefault="00E649E8" w:rsidP="00E649E8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E649E8">
        <w:rPr>
          <w:rFonts w:ascii="Times New Roman" w:hAnsi="Times New Roman" w:cs="Times New Roman"/>
          <w:sz w:val="24"/>
          <w:szCs w:val="24"/>
        </w:rPr>
        <w:t> a tagsági jogot megtestesítő értékpapírokra, illetve gazdasági társaságban és közhasznú társaságban az Önkormányzatot megillető egyéb társasági részesedésekre.</w:t>
      </w:r>
    </w:p>
    <w:p w14:paraId="28B297D0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sz w:val="24"/>
          <w:szCs w:val="24"/>
        </w:rPr>
        <w:t>(2) Nem terjed ki a rendelet hatálya az Önkormányzat tulajdonában lévő lakások és nem lakás céljára szolgáló helyiségek bérletére, valamint elidegenítésére.</w:t>
      </w:r>
    </w:p>
    <w:p w14:paraId="6676CDC8" w14:textId="77777777" w:rsidR="00E649E8" w:rsidRPr="00E649E8" w:rsidRDefault="00E649E8" w:rsidP="00E649E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49E8">
        <w:rPr>
          <w:rFonts w:ascii="Times New Roman" w:hAnsi="Times New Roman" w:cs="Times New Roman"/>
          <w:b/>
          <w:bCs/>
          <w:sz w:val="24"/>
          <w:szCs w:val="24"/>
        </w:rPr>
        <w:t>A törzsvagyon</w:t>
      </w:r>
    </w:p>
    <w:p w14:paraId="76C15139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proofErr w:type="gramStart"/>
      <w:r w:rsidRPr="00E649E8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E649E8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E649E8">
        <w:rPr>
          <w:rFonts w:ascii="Times New Roman" w:hAnsi="Times New Roman" w:cs="Times New Roman"/>
          <w:sz w:val="24"/>
          <w:szCs w:val="24"/>
        </w:rPr>
        <w:t>1) Az önkormányzati vagyon külön része a törzsvagyon, amely körébe tartozó tulajdon forgalomképtelen vagy korlátozottan forgalomképes.</w:t>
      </w:r>
    </w:p>
    <w:p w14:paraId="7155FEE0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sz w:val="24"/>
          <w:szCs w:val="24"/>
        </w:rPr>
        <w:t xml:space="preserve">(2) Törzsvagyonnak az az önkormányzati tulajdon nyilvánítható, amely kötelező önkormányzati feladat- és </w:t>
      </w:r>
      <w:proofErr w:type="gramStart"/>
      <w:r w:rsidRPr="00E649E8">
        <w:rPr>
          <w:rFonts w:ascii="Times New Roman" w:hAnsi="Times New Roman" w:cs="Times New Roman"/>
          <w:sz w:val="24"/>
          <w:szCs w:val="24"/>
        </w:rPr>
        <w:t>hatáskör ellátását,</w:t>
      </w:r>
      <w:proofErr w:type="gramEnd"/>
      <w:r w:rsidRPr="00E649E8">
        <w:rPr>
          <w:rFonts w:ascii="Times New Roman" w:hAnsi="Times New Roman" w:cs="Times New Roman"/>
          <w:sz w:val="24"/>
          <w:szCs w:val="24"/>
        </w:rPr>
        <w:t xml:space="preserve"> vagy a közhatalom gyakorlását szolgálja.</w:t>
      </w:r>
    </w:p>
    <w:p w14:paraId="0B1FCB4B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sz w:val="24"/>
          <w:szCs w:val="24"/>
        </w:rPr>
        <w:t>(3) A forgalomképtelen törzsvagyon körébe tartozik a kizárólagos önkormányzati tulajdonban álló vagyon, valamint a nemzetgazdasági szempontból kiemelt jelentőségű nemzeti vagyonnak minősített vagyon.</w:t>
      </w:r>
    </w:p>
    <w:p w14:paraId="5DC6AFB8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sz w:val="24"/>
          <w:szCs w:val="24"/>
        </w:rPr>
        <w:t>(4) Az </w:t>
      </w:r>
      <w:proofErr w:type="spellStart"/>
      <w:r w:rsidRPr="00E649E8">
        <w:rPr>
          <w:rFonts w:ascii="Times New Roman" w:hAnsi="Times New Roman" w:cs="Times New Roman"/>
          <w:sz w:val="24"/>
          <w:szCs w:val="24"/>
        </w:rPr>
        <w:fldChar w:fldCharType="begin"/>
      </w:r>
      <w:r w:rsidRPr="00E649E8">
        <w:rPr>
          <w:rFonts w:ascii="Times New Roman" w:hAnsi="Times New Roman" w:cs="Times New Roman"/>
          <w:sz w:val="24"/>
          <w:szCs w:val="24"/>
        </w:rPr>
        <w:instrText xml:space="preserve"> HYPERLINK "https://njt.hu/jogszabaly/2011-196-00-00" \t "_blank" </w:instrText>
      </w:r>
      <w:r w:rsidRPr="00E649E8">
        <w:rPr>
          <w:rFonts w:ascii="Times New Roman" w:hAnsi="Times New Roman" w:cs="Times New Roman"/>
          <w:sz w:val="24"/>
          <w:szCs w:val="24"/>
        </w:rPr>
        <w:fldChar w:fldCharType="separate"/>
      </w:r>
      <w:r w:rsidRPr="00E649E8"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>Nvt</w:t>
      </w:r>
      <w:proofErr w:type="spellEnd"/>
      <w:r w:rsidRPr="00E649E8"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  <w:r w:rsidRPr="00E649E8">
        <w:rPr>
          <w:rFonts w:ascii="Times New Roman" w:hAnsi="Times New Roman" w:cs="Times New Roman"/>
          <w:sz w:val="24"/>
          <w:szCs w:val="24"/>
        </w:rPr>
        <w:fldChar w:fldCharType="end"/>
      </w:r>
      <w:r w:rsidRPr="00E649E8">
        <w:rPr>
          <w:rFonts w:ascii="Times New Roman" w:hAnsi="Times New Roman" w:cs="Times New Roman"/>
          <w:sz w:val="24"/>
          <w:szCs w:val="24"/>
        </w:rPr>
        <w:t> alapján kizárólagos önkormányzati tulajdonban álló vagyon felsorolását e rendelet 1. számú melléklete tartalmazza.</w:t>
      </w:r>
    </w:p>
    <w:p w14:paraId="2A501DE1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sz w:val="24"/>
          <w:szCs w:val="24"/>
        </w:rPr>
        <w:t>(5) Az Önkormányzat nemzetgazdasági szempontból kiemelt jelentőségű nemzeti vagyonnak minősíti víziközmű vagyonát.</w:t>
      </w:r>
    </w:p>
    <w:p w14:paraId="5E971A20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sz w:val="24"/>
          <w:szCs w:val="24"/>
        </w:rPr>
        <w:t>(6) Korlátozottan forgalomképes vagyonnak minősül az önkormányzati feladatok ellátásához szükséges középület, közterület. A korlátozottan forgalomképes vagyon felsorolását e rendelet 2. számú melléklete tartalmazza.</w:t>
      </w:r>
    </w:p>
    <w:p w14:paraId="65D23236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sz w:val="24"/>
          <w:szCs w:val="24"/>
        </w:rPr>
        <w:t>(7) A Képviselő-testület kivételesen indokolt esetben e rendelet alapján nemzetgazdasági szempontból kiemelt jelentőségű vagy korlátozottan forgalomképes vagyonnak minősülő vagyontárgy besorolását megváltoztathatja.</w:t>
      </w:r>
    </w:p>
    <w:p w14:paraId="4BDD33BC" w14:textId="77777777" w:rsidR="00E649E8" w:rsidRPr="00E649E8" w:rsidRDefault="00E649E8" w:rsidP="00E649E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49E8">
        <w:rPr>
          <w:rFonts w:ascii="Times New Roman" w:hAnsi="Times New Roman" w:cs="Times New Roman"/>
          <w:b/>
          <w:bCs/>
          <w:sz w:val="24"/>
          <w:szCs w:val="24"/>
        </w:rPr>
        <w:lastRenderedPageBreak/>
        <w:t>Az üzleti vagyon</w:t>
      </w:r>
    </w:p>
    <w:p w14:paraId="00167F47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proofErr w:type="gramStart"/>
      <w:r w:rsidRPr="00E649E8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E649E8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E649E8">
        <w:rPr>
          <w:rFonts w:ascii="Times New Roman" w:hAnsi="Times New Roman" w:cs="Times New Roman"/>
          <w:sz w:val="24"/>
          <w:szCs w:val="24"/>
        </w:rPr>
        <w:t>1) Az önkormányzati vagyon külön része az üzleti vagyon.</w:t>
      </w:r>
    </w:p>
    <w:p w14:paraId="7A1D814F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sz w:val="24"/>
          <w:szCs w:val="24"/>
        </w:rPr>
        <w:t>(2) A </w:t>
      </w:r>
      <w:hyperlink r:id="rId13" w:anchor="SZ2" w:history="1">
        <w:r w:rsidRPr="00E649E8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2. §</w:t>
        </w:r>
      </w:hyperlink>
      <w:r w:rsidRPr="00E649E8">
        <w:rPr>
          <w:rFonts w:ascii="Times New Roman" w:hAnsi="Times New Roman" w:cs="Times New Roman"/>
          <w:sz w:val="24"/>
          <w:szCs w:val="24"/>
        </w:rPr>
        <w:t> bekezdés hatálya alá nem tartozó vagyontárgyak az üzleti vagyon körébe tartoznak.</w:t>
      </w:r>
    </w:p>
    <w:p w14:paraId="58F6AE95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sz w:val="24"/>
          <w:szCs w:val="24"/>
        </w:rPr>
        <w:t>Az önkormányzati vagyon feletti tulajdonjog gyakorlása</w:t>
      </w:r>
    </w:p>
    <w:p w14:paraId="0A946D90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proofErr w:type="gramStart"/>
      <w:r w:rsidRPr="00E649E8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E649E8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E649E8">
        <w:rPr>
          <w:rFonts w:ascii="Times New Roman" w:hAnsi="Times New Roman" w:cs="Times New Roman"/>
          <w:sz w:val="24"/>
          <w:szCs w:val="24"/>
        </w:rPr>
        <w:t>1) A Képviselő-testület minősített többséggel hozott döntéssel határoz a </w:t>
      </w:r>
      <w:hyperlink r:id="rId14" w:anchor="SZ2@BE6" w:history="1">
        <w:r w:rsidRPr="00E649E8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2. § (6) bekezdés</w:t>
        </w:r>
      </w:hyperlink>
      <w:r w:rsidRPr="00E649E8">
        <w:rPr>
          <w:rFonts w:ascii="Times New Roman" w:hAnsi="Times New Roman" w:cs="Times New Roman"/>
          <w:sz w:val="24"/>
          <w:szCs w:val="24"/>
        </w:rPr>
        <w:t>ében és a </w:t>
      </w:r>
      <w:hyperlink r:id="rId15" w:anchor="SZ3" w:history="1">
        <w:r w:rsidRPr="00E649E8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3. §</w:t>
        </w:r>
      </w:hyperlink>
      <w:r w:rsidRPr="00E649E8">
        <w:rPr>
          <w:rFonts w:ascii="Times New Roman" w:hAnsi="Times New Roman" w:cs="Times New Roman"/>
          <w:sz w:val="24"/>
          <w:szCs w:val="24"/>
        </w:rPr>
        <w:t>-ban felsorolt önkormányzati vagyon elidegenítéséről, megterheléséről és gazdasági társaságba való beviteléről.</w:t>
      </w:r>
    </w:p>
    <w:p w14:paraId="7B3BE235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sz w:val="24"/>
          <w:szCs w:val="24"/>
        </w:rPr>
        <w:t>(2) A Képviselő-testület a tulajdonnal kapcsolatos rendelkezési jogok gyakorlását a </w:t>
      </w:r>
      <w:hyperlink r:id="rId16" w:anchor="SZ4@BE3" w:history="1">
        <w:r w:rsidRPr="00E649E8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(3) bekezdés</w:t>
        </w:r>
      </w:hyperlink>
      <w:r w:rsidRPr="00E649E8">
        <w:rPr>
          <w:rFonts w:ascii="Times New Roman" w:hAnsi="Times New Roman" w:cs="Times New Roman"/>
          <w:sz w:val="24"/>
          <w:szCs w:val="24"/>
        </w:rPr>
        <w:t>ben meghatározott vagyonkezelő szerveire ruházza át, azzal, hogy a vagyontárgyak használatáról, hasznainak szedéséről, bérbeadásáról a Képviselő-testület minősített többséggel dönt.</w:t>
      </w:r>
    </w:p>
    <w:p w14:paraId="43621499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sz w:val="24"/>
          <w:szCs w:val="24"/>
        </w:rPr>
        <w:t>(3) Az Önkormányzat vagyonkezelő szervei:</w:t>
      </w:r>
    </w:p>
    <w:p w14:paraId="24BD097A" w14:textId="77777777" w:rsidR="00E649E8" w:rsidRPr="00E649E8" w:rsidRDefault="00E649E8" w:rsidP="00E649E8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E649E8">
        <w:rPr>
          <w:rFonts w:ascii="Times New Roman" w:hAnsi="Times New Roman" w:cs="Times New Roman"/>
          <w:sz w:val="24"/>
          <w:szCs w:val="24"/>
        </w:rPr>
        <w:t> az Önkormányzat költségvetési szervei az alapító okiratukban a működéshez használatukba adott önkormányzati tulajdonban lévő vagyon tekintetében.</w:t>
      </w:r>
    </w:p>
    <w:p w14:paraId="03214346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sz w:val="24"/>
          <w:szCs w:val="24"/>
        </w:rPr>
        <w:t>(4) A Képviselő-testület vagyonának kezelésével a </w:t>
      </w:r>
      <w:hyperlink r:id="rId17" w:anchor="SZ4@BE3" w:history="1">
        <w:r w:rsidRPr="00E649E8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(3) bekezdés</w:t>
        </w:r>
      </w:hyperlink>
      <w:r w:rsidRPr="00E649E8">
        <w:rPr>
          <w:rFonts w:ascii="Times New Roman" w:hAnsi="Times New Roman" w:cs="Times New Roman"/>
          <w:sz w:val="24"/>
          <w:szCs w:val="24"/>
        </w:rPr>
        <w:t>ben felsorolt szerveken kívül vagyonkezelési szerződéssel más szervet is megbízhat. A vagyonkezelői jog ellenértékének mértékéről vagy ingyenes átengedéséről a Képviselő-testület dönt.</w:t>
      </w:r>
    </w:p>
    <w:p w14:paraId="2E1E7F84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sz w:val="24"/>
          <w:szCs w:val="24"/>
        </w:rPr>
        <w:t>(5) A </w:t>
      </w:r>
      <w:hyperlink r:id="rId18" w:anchor="SZ4@BE3@POA" w:history="1">
        <w:r w:rsidRPr="00E649E8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(3) bekezdés a) pont</w:t>
        </w:r>
      </w:hyperlink>
      <w:r w:rsidRPr="00E649E8">
        <w:rPr>
          <w:rFonts w:ascii="Times New Roman" w:hAnsi="Times New Roman" w:cs="Times New Roman"/>
          <w:sz w:val="24"/>
          <w:szCs w:val="24"/>
        </w:rPr>
        <w:t>jában meghatározott vagyonkezelő – az alapító okiratban meghatározott tevékenységi körön belül és az alaptevékenység sérelme nélkül – önállóan dönt a használatában lévő</w:t>
      </w:r>
    </w:p>
    <w:p w14:paraId="630EAF70" w14:textId="77777777" w:rsidR="00E649E8" w:rsidRPr="00E649E8" w:rsidRDefault="00E649E8" w:rsidP="00E649E8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E649E8">
        <w:rPr>
          <w:rFonts w:ascii="Times New Roman" w:hAnsi="Times New Roman" w:cs="Times New Roman"/>
          <w:sz w:val="24"/>
          <w:szCs w:val="24"/>
        </w:rPr>
        <w:t> ingatlan, ingatlanrész egyszeri, egy hónapot meg nem haladó időtartamú használatba vagy bérbe adásáról, a Képviselő-testület előzetes tájékoztatása mellett az egy hónapot meghaladó időtartamú használatba vagy bérbe adásáról,</w:t>
      </w:r>
    </w:p>
    <w:p w14:paraId="456D4D47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sz w:val="24"/>
          <w:szCs w:val="24"/>
        </w:rPr>
        <w:t>(6) Az önkormányzati vagyonkezelő szerv köteles a kezelésében lévő vagyontárgyak fenntartásával, üzemeltetésével, karbantartásával, felújításával kapcsolatos feladatok ellátására. Az önkormányzati vagyonkezelő szerv beruházást, felújítást csak a Képviselő-testület döntése alapján végezhet.</w:t>
      </w:r>
    </w:p>
    <w:p w14:paraId="0D3A84B9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sz w:val="24"/>
          <w:szCs w:val="24"/>
        </w:rPr>
        <w:t>(7) A Képviselő-testület, a polgármester, a vagyonkezelőtől a vagyonkezeléssel kapcsolatos tevékenységéről tájékoztatást, információt, adatot kérhet, a vagyonkezeléssel kapcsolatos dokumentumokba betekinthet.</w:t>
      </w:r>
    </w:p>
    <w:p w14:paraId="19025E36" w14:textId="77777777" w:rsidR="00E649E8" w:rsidRPr="00E649E8" w:rsidRDefault="00E649E8" w:rsidP="00E649E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49E8">
        <w:rPr>
          <w:rFonts w:ascii="Times New Roman" w:hAnsi="Times New Roman" w:cs="Times New Roman"/>
          <w:b/>
          <w:bCs/>
          <w:sz w:val="24"/>
          <w:szCs w:val="24"/>
        </w:rPr>
        <w:t>Az önkormányzati vagyon hasznosítása</w:t>
      </w:r>
    </w:p>
    <w:p w14:paraId="0AE50F84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proofErr w:type="gramStart"/>
      <w:r w:rsidRPr="00E649E8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E649E8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E649E8">
        <w:rPr>
          <w:rFonts w:ascii="Times New Roman" w:hAnsi="Times New Roman" w:cs="Times New Roman"/>
          <w:sz w:val="24"/>
          <w:szCs w:val="24"/>
        </w:rPr>
        <w:t xml:space="preserve">1) A forgalomképtelen vagyontárgyak egyéb módon történő hasznosításáról a Képviselő-testület </w:t>
      </w:r>
      <w:proofErr w:type="spellStart"/>
      <w:r w:rsidRPr="00E649E8">
        <w:rPr>
          <w:rFonts w:ascii="Times New Roman" w:hAnsi="Times New Roman" w:cs="Times New Roman"/>
          <w:sz w:val="24"/>
          <w:szCs w:val="24"/>
        </w:rPr>
        <w:t>esetenként</w:t>
      </w:r>
      <w:proofErr w:type="spellEnd"/>
      <w:r w:rsidRPr="00E649E8">
        <w:rPr>
          <w:rFonts w:ascii="Times New Roman" w:hAnsi="Times New Roman" w:cs="Times New Roman"/>
          <w:sz w:val="24"/>
          <w:szCs w:val="24"/>
        </w:rPr>
        <w:t xml:space="preserve"> határoz.</w:t>
      </w:r>
    </w:p>
    <w:p w14:paraId="109102E3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sz w:val="24"/>
          <w:szCs w:val="24"/>
        </w:rPr>
        <w:t>(2) A forgalomképtelen vagyontárgyak elidegenítésére kötött szerződés semmis.</w:t>
      </w:r>
    </w:p>
    <w:p w14:paraId="26288054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sz w:val="24"/>
          <w:szCs w:val="24"/>
        </w:rPr>
        <w:t xml:space="preserve">(3) Az </w:t>
      </w:r>
      <w:proofErr w:type="gramStart"/>
      <w:r w:rsidRPr="00E649E8">
        <w:rPr>
          <w:rFonts w:ascii="Times New Roman" w:hAnsi="Times New Roman" w:cs="Times New Roman"/>
          <w:sz w:val="24"/>
          <w:szCs w:val="24"/>
        </w:rPr>
        <w:t>1.000.000,-</w:t>
      </w:r>
      <w:proofErr w:type="gramEnd"/>
      <w:r w:rsidRPr="00E649E8">
        <w:rPr>
          <w:rFonts w:ascii="Times New Roman" w:hAnsi="Times New Roman" w:cs="Times New Roman"/>
          <w:sz w:val="24"/>
          <w:szCs w:val="24"/>
        </w:rPr>
        <w:t xml:space="preserve"> Ft-ot meghaladó értékű üzleti vagyon tulajdonjogát átruházni csak versenyeztetés útján, az összességében legelőnyösebb ajánlatot tevő részére, a szolgáltatás és ellenszolgáltatás értékarányosságával lehet.</w:t>
      </w:r>
    </w:p>
    <w:p w14:paraId="7ACFE364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sz w:val="24"/>
          <w:szCs w:val="24"/>
        </w:rPr>
        <w:lastRenderedPageBreak/>
        <w:t xml:space="preserve">(4) Az </w:t>
      </w:r>
      <w:proofErr w:type="gramStart"/>
      <w:r w:rsidRPr="00E649E8">
        <w:rPr>
          <w:rFonts w:ascii="Times New Roman" w:hAnsi="Times New Roman" w:cs="Times New Roman"/>
          <w:sz w:val="24"/>
          <w:szCs w:val="24"/>
        </w:rPr>
        <w:t>1.000.000,-</w:t>
      </w:r>
      <w:proofErr w:type="gramEnd"/>
      <w:r w:rsidRPr="00E649E8">
        <w:rPr>
          <w:rFonts w:ascii="Times New Roman" w:hAnsi="Times New Roman" w:cs="Times New Roman"/>
          <w:sz w:val="24"/>
          <w:szCs w:val="24"/>
        </w:rPr>
        <w:t xml:space="preserve"> Ft-ot meghaladó értékű vagyontárgyat hasznosítani csak versenyeztetés útján, az összességében legelőnyösebb ajánlatot tevő részére, a szolgáltatás és ellenszolgáltatás értékarányosságával lehet.</w:t>
      </w:r>
    </w:p>
    <w:p w14:paraId="14535B1B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sz w:val="24"/>
          <w:szCs w:val="24"/>
        </w:rPr>
        <w:t>(5) A vagyonnal való rendelkezéssel kapcsolatos döntés előkészítése a polgármester feladata, aki előzetesen felméri a pénzügyi lehetőségeket, tárgyal a jelentkező vállalkozókkal, a beérkező ajánlatokat véleményezi, majd - a lakótelkek elidegenítésének esetét kivéve - írásbeli előterjesztést és határozati javaslatot készít.</w:t>
      </w:r>
    </w:p>
    <w:p w14:paraId="5CDAE450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sz w:val="24"/>
          <w:szCs w:val="24"/>
        </w:rPr>
        <w:t>(6) Értékpapír vásárlás, elidegenítés a Képviselő-testület hatásköre.</w:t>
      </w:r>
    </w:p>
    <w:p w14:paraId="5475B22B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sz w:val="24"/>
          <w:szCs w:val="24"/>
        </w:rPr>
        <w:t>(7) Önkormányzati követelésekről a következő esetekben lehet lemondani:</w:t>
      </w:r>
    </w:p>
    <w:p w14:paraId="4241050C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sz w:val="24"/>
          <w:szCs w:val="24"/>
        </w:rPr>
        <w:t>a.) csődegyezségi megállapodásban,</w:t>
      </w:r>
    </w:p>
    <w:p w14:paraId="536B66A3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649E8">
        <w:rPr>
          <w:rFonts w:ascii="Times New Roman" w:hAnsi="Times New Roman" w:cs="Times New Roman"/>
          <w:sz w:val="24"/>
          <w:szCs w:val="24"/>
        </w:rPr>
        <w:t>b.</w:t>
      </w:r>
      <w:proofErr w:type="spellEnd"/>
      <w:r w:rsidRPr="00E649E8">
        <w:rPr>
          <w:rFonts w:ascii="Times New Roman" w:hAnsi="Times New Roman" w:cs="Times New Roman"/>
          <w:sz w:val="24"/>
          <w:szCs w:val="24"/>
        </w:rPr>
        <w:t>) bírói egyezség keretében,</w:t>
      </w:r>
    </w:p>
    <w:p w14:paraId="5A4D6DC7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sz w:val="24"/>
          <w:szCs w:val="24"/>
        </w:rPr>
        <w:t>c.) felszámolási eljárás során, ha a felszámoló által írásban adott nyilatkozat alapján a követelés várhatóan nem térül meg,</w:t>
      </w:r>
    </w:p>
    <w:p w14:paraId="67796114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sz w:val="24"/>
          <w:szCs w:val="24"/>
        </w:rPr>
        <w:t>d.) ha a követelés csak veszteséggel vagy aránytalanul nagy költségráfordítással érvényesíthető,</w:t>
      </w:r>
    </w:p>
    <w:p w14:paraId="368E2AC9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sz w:val="24"/>
          <w:szCs w:val="24"/>
        </w:rPr>
        <w:t>e.) a kötelezett nem lelhető fel.</w:t>
      </w:r>
    </w:p>
    <w:p w14:paraId="070C37CA" w14:textId="77777777" w:rsidR="00E649E8" w:rsidRPr="00E649E8" w:rsidRDefault="00E649E8" w:rsidP="00E649E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49E8">
        <w:rPr>
          <w:rFonts w:ascii="Times New Roman" w:hAnsi="Times New Roman" w:cs="Times New Roman"/>
          <w:b/>
          <w:bCs/>
          <w:sz w:val="24"/>
          <w:szCs w:val="24"/>
        </w:rPr>
        <w:t>Vegyes rendelkezések</w:t>
      </w:r>
    </w:p>
    <w:p w14:paraId="7AC500E5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proofErr w:type="gramStart"/>
      <w:r w:rsidRPr="00E649E8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E649E8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E649E8">
        <w:rPr>
          <w:rFonts w:ascii="Times New Roman" w:hAnsi="Times New Roman" w:cs="Times New Roman"/>
          <w:sz w:val="24"/>
          <w:szCs w:val="24"/>
        </w:rPr>
        <w:t>1) A körjegyzőséget fenntartó községi önkormányzatok közös tulajdonában lévő vagyonnal való rendelkezés az érintett községek együttes ülésének hatáskörébe tartozik.</w:t>
      </w:r>
    </w:p>
    <w:p w14:paraId="72C03A17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sz w:val="24"/>
          <w:szCs w:val="24"/>
        </w:rPr>
        <w:t>(2) A körjegyző köteles a vagyonleltár folyamatos karbantartásáról gondoskodni.</w:t>
      </w:r>
    </w:p>
    <w:p w14:paraId="53816995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sz w:val="24"/>
          <w:szCs w:val="24"/>
        </w:rPr>
        <w:t>(3) A rendelet 2012. április 1-én lép hatályba.</w:t>
      </w:r>
    </w:p>
    <w:p w14:paraId="26BC6241" w14:textId="77777777" w:rsidR="00E649E8" w:rsidRPr="00E649E8" w:rsidRDefault="00E649E8" w:rsidP="00E649E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E8">
        <w:rPr>
          <w:rFonts w:ascii="Times New Roman" w:hAnsi="Times New Roman" w:cs="Times New Roman"/>
          <w:sz w:val="24"/>
          <w:szCs w:val="24"/>
        </w:rPr>
        <w:t>(4) A rendelet hatálybalépésével egyidejűleg hatályát veszti Vasszécseny Község Önkormányzata Képviselő-testületének </w:t>
      </w:r>
      <w:hyperlink r:id="rId19" w:tgtFrame="_blank" w:history="1">
        <w:r w:rsidRPr="00E649E8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8/2000. (V.3.) önkormányzati rendelet</w:t>
        </w:r>
      </w:hyperlink>
      <w:r w:rsidRPr="00E649E8">
        <w:rPr>
          <w:rFonts w:ascii="Times New Roman" w:hAnsi="Times New Roman" w:cs="Times New Roman"/>
          <w:sz w:val="24"/>
          <w:szCs w:val="24"/>
        </w:rPr>
        <w:t>e.</w:t>
      </w:r>
    </w:p>
    <w:p w14:paraId="0838609C" w14:textId="77777777" w:rsidR="00D03322" w:rsidRPr="00E649E8" w:rsidRDefault="00D03322">
      <w:pPr>
        <w:rPr>
          <w:rFonts w:ascii="Times New Roman" w:hAnsi="Times New Roman" w:cs="Times New Roman"/>
          <w:sz w:val="24"/>
          <w:szCs w:val="24"/>
        </w:rPr>
      </w:pPr>
    </w:p>
    <w:sectPr w:rsidR="00D03322" w:rsidRPr="00E64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EC71E3"/>
    <w:multiLevelType w:val="multilevel"/>
    <w:tmpl w:val="A8569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49D14EA"/>
    <w:multiLevelType w:val="multilevel"/>
    <w:tmpl w:val="2A707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450F83"/>
    <w:multiLevelType w:val="multilevel"/>
    <w:tmpl w:val="9EE2C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5120534">
    <w:abstractNumId w:val="2"/>
  </w:num>
  <w:num w:numId="2" w16cid:durableId="1541630112">
    <w:abstractNumId w:val="0"/>
  </w:num>
  <w:num w:numId="3" w16cid:durableId="3470968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9E8"/>
    <w:rsid w:val="00D03322"/>
    <w:rsid w:val="00E6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1F29A"/>
  <w15:chartTrackingRefBased/>
  <w15:docId w15:val="{9663789B-C92E-40B0-B0F5-C2B3342B6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E649E8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E649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66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23086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13942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2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57921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2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03741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4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9153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8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9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25238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jt.hu/jogszabaly/2011-196-00-00" TargetMode="External"/><Relationship Id="rId13" Type="http://schemas.openxmlformats.org/officeDocument/2006/relationships/hyperlink" Target="https://or.njt.hu/onkormanyzati-rendelet/490766" TargetMode="External"/><Relationship Id="rId18" Type="http://schemas.openxmlformats.org/officeDocument/2006/relationships/hyperlink" Target="https://or.njt.hu/onkormanyzati-rendelet/490766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njt.hu/jogszabaly/2011-196-00-00" TargetMode="External"/><Relationship Id="rId12" Type="http://schemas.openxmlformats.org/officeDocument/2006/relationships/hyperlink" Target="https://njt.hu/jogszabaly/2011-189-00-00" TargetMode="External"/><Relationship Id="rId17" Type="http://schemas.openxmlformats.org/officeDocument/2006/relationships/hyperlink" Target="https://or.njt.hu/onkormanyzati-rendelet/490766" TargetMode="External"/><Relationship Id="rId2" Type="http://schemas.openxmlformats.org/officeDocument/2006/relationships/styles" Target="styles.xml"/><Relationship Id="rId16" Type="http://schemas.openxmlformats.org/officeDocument/2006/relationships/hyperlink" Target="https://or.njt.hu/onkormanyzati-rendelet/490766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njt.hu/jogszabaly/2011-196-00-00" TargetMode="External"/><Relationship Id="rId11" Type="http://schemas.openxmlformats.org/officeDocument/2006/relationships/hyperlink" Target="https://njt.hu/jogszabaly/2011-195-00-00" TargetMode="External"/><Relationship Id="rId5" Type="http://schemas.openxmlformats.org/officeDocument/2006/relationships/hyperlink" Target="https://njt.hu/jogszabaly/2011-4301-02-00" TargetMode="External"/><Relationship Id="rId15" Type="http://schemas.openxmlformats.org/officeDocument/2006/relationships/hyperlink" Target="https://or.njt.hu/onkormanyzati-rendelet/490766" TargetMode="External"/><Relationship Id="rId10" Type="http://schemas.openxmlformats.org/officeDocument/2006/relationships/hyperlink" Target="https://njt.hu/jogszabaly/2011-196-00-00" TargetMode="External"/><Relationship Id="rId19" Type="http://schemas.openxmlformats.org/officeDocument/2006/relationships/hyperlink" Target="https://or.njt.hu/onkormanyzati-rendelet/2000-8-SP-329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jt.hu/jogszabaly/2011-196-00-00" TargetMode="External"/><Relationship Id="rId14" Type="http://schemas.openxmlformats.org/officeDocument/2006/relationships/hyperlink" Target="https://or.njt.hu/onkormanyzati-rendelet/490766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982</Words>
  <Characters>6781</Characters>
  <Application>Microsoft Office Word</Application>
  <DocSecurity>0</DocSecurity>
  <Lines>56</Lines>
  <Paragraphs>15</Paragraphs>
  <ScaleCrop>false</ScaleCrop>
  <Company/>
  <LinksUpToDate>false</LinksUpToDate>
  <CharactersWithSpaces>7748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2022-08-01T11:31:00Z</dcterms:created>
  <dcterms:modified xsi:type="dcterms:W3CDTF">2022-08-01T11:33:00Z</dcterms:modified>
</cp:coreProperties>
</file>