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39BA1" w14:textId="4E50D050" w:rsidR="00C24D76" w:rsidRPr="00C24D76" w:rsidRDefault="00C24D76" w:rsidP="00C24D76">
      <w:pPr>
        <w:jc w:val="center"/>
        <w:rPr>
          <w:rFonts w:ascii="Times New Roman" w:hAnsi="Times New Roman" w:cs="Times New Roman"/>
          <w:b/>
          <w:bCs/>
          <w:sz w:val="28"/>
          <w:szCs w:val="28"/>
        </w:rPr>
      </w:pPr>
      <w:r w:rsidRPr="00C24D76">
        <w:rPr>
          <w:rFonts w:ascii="Times New Roman" w:hAnsi="Times New Roman" w:cs="Times New Roman"/>
          <w:b/>
          <w:bCs/>
          <w:sz w:val="28"/>
          <w:szCs w:val="28"/>
        </w:rPr>
        <w:t>Vasszécseny Község Önkormányzata Képviselő-testületének 3/2019. (II.5.) önkormányzati rendelete</w:t>
      </w:r>
      <w:r w:rsidRPr="00C24D76">
        <w:rPr>
          <w:rFonts w:ascii="Times New Roman" w:hAnsi="Times New Roman" w:cs="Times New Roman"/>
          <w:b/>
          <w:bCs/>
          <w:sz w:val="28"/>
          <w:szCs w:val="28"/>
        </w:rPr>
        <w:br/>
      </w:r>
      <w:r w:rsidRPr="00C24D76">
        <w:rPr>
          <w:rFonts w:ascii="Times New Roman" w:hAnsi="Times New Roman" w:cs="Times New Roman"/>
          <w:b/>
          <w:bCs/>
          <w:sz w:val="28"/>
          <w:szCs w:val="28"/>
        </w:rPr>
        <w:t>Vasszécseny község településképének védelméről</w:t>
      </w:r>
    </w:p>
    <w:p w14:paraId="714620CA" w14:textId="23C622BD" w:rsidR="00C24D76" w:rsidRPr="00C24D76" w:rsidRDefault="00C24D76" w:rsidP="00C24D76">
      <w:pPr>
        <w:jc w:val="both"/>
        <w:rPr>
          <w:rFonts w:ascii="Times New Roman" w:hAnsi="Times New Roman" w:cs="Times New Roman"/>
          <w:b/>
          <w:bCs/>
          <w:sz w:val="24"/>
          <w:szCs w:val="24"/>
        </w:rPr>
      </w:pPr>
      <w:r w:rsidRPr="00C24D76">
        <w:rPr>
          <w:rFonts w:ascii="Times New Roman" w:hAnsi="Times New Roman" w:cs="Times New Roman"/>
          <w:sz w:val="24"/>
          <w:szCs w:val="24"/>
        </w:rPr>
        <w:t> </w:t>
      </w:r>
    </w:p>
    <w:p w14:paraId="2A64D32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Vasszécseny Község Önkormányzatának Képviselő-testülete a településkép védelméről szóló 2016. évi LXXIV. törvény 12.§ (2) bekezdésben kapott felhatalmazás alapján, az Alaptörvény 32. cikk (1) bekezdés a) pontjában, a településkép védelméről szóló 2016. évi LXXIV. törvény 2. § (2) bekezdésében, a Magyarország helyi önkormányzatairól szóló 2011. évi CLXXXIX. törvény 13. § (1) bekezdés 1. pontjában és az épített környezet alakításáról és védelméről szóló 1997. évi LXXVIII. törvény 57. § (2)-(3) bekezdésében meghatározott feladatkörében eljárva - a jogszabályban meghatározott véleményezési eljárás lefolytatását követően - a következőket rendeli el:</w:t>
      </w:r>
    </w:p>
    <w:p w14:paraId="79055D0D"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I. FEJEZET</w:t>
      </w:r>
    </w:p>
    <w:p w14:paraId="371D76CA" w14:textId="163C692C"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ÁLTALÁNOS RENDELKEZÉSEK</w:t>
      </w:r>
    </w:p>
    <w:p w14:paraId="4BAF3542" w14:textId="7BFC3D92"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b/>
          <w:bCs/>
          <w:sz w:val="24"/>
          <w:szCs w:val="24"/>
        </w:rPr>
        <w:t>1. Értelmező rendelkezések</w:t>
      </w:r>
    </w:p>
    <w:p w14:paraId="1B9B07C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 §</w:t>
      </w:r>
      <w:r w:rsidRPr="00C24D76">
        <w:rPr>
          <w:rFonts w:ascii="Times New Roman" w:hAnsi="Times New Roman" w:cs="Times New Roman"/>
          <w:sz w:val="24"/>
          <w:szCs w:val="24"/>
        </w:rPr>
        <w:t> E rendeletben alkalmazásában használt fogalmak:</w:t>
      </w:r>
    </w:p>
    <w:p w14:paraId="2586FE12" w14:textId="77777777" w:rsidR="00C24D76" w:rsidRPr="00C24D76" w:rsidRDefault="00C24D76" w:rsidP="00C24D76">
      <w:pPr>
        <w:numPr>
          <w:ilvl w:val="0"/>
          <w:numId w:val="1"/>
        </w:numPr>
        <w:jc w:val="both"/>
        <w:rPr>
          <w:rFonts w:ascii="Times New Roman" w:hAnsi="Times New Roman" w:cs="Times New Roman"/>
          <w:sz w:val="24"/>
          <w:szCs w:val="24"/>
        </w:rPr>
      </w:pPr>
      <w:r w:rsidRPr="00C24D76">
        <w:rPr>
          <w:rFonts w:ascii="Times New Roman" w:hAnsi="Times New Roman" w:cs="Times New Roman"/>
          <w:i/>
          <w:iCs/>
          <w:sz w:val="24"/>
          <w:szCs w:val="24"/>
        </w:rPr>
        <w:t>Áttört</w:t>
      </w:r>
      <w:r w:rsidRPr="00C24D76">
        <w:rPr>
          <w:rFonts w:ascii="Times New Roman" w:hAnsi="Times New Roman" w:cs="Times New Roman"/>
          <w:sz w:val="24"/>
          <w:szCs w:val="24"/>
        </w:rPr>
        <w:t> </w:t>
      </w:r>
      <w:r w:rsidRPr="00C24D76">
        <w:rPr>
          <w:rFonts w:ascii="Times New Roman" w:hAnsi="Times New Roman" w:cs="Times New Roman"/>
          <w:i/>
          <w:iCs/>
          <w:sz w:val="24"/>
          <w:szCs w:val="24"/>
        </w:rPr>
        <w:t>kerítés: </w:t>
      </w:r>
      <w:r w:rsidRPr="00C24D76">
        <w:rPr>
          <w:rFonts w:ascii="Times New Roman" w:hAnsi="Times New Roman" w:cs="Times New Roman"/>
          <w:sz w:val="24"/>
          <w:szCs w:val="24"/>
        </w:rPr>
        <w:t>olyan kerítés, amelynél a tömör felületek aránya a kerítés teljes felületének 50%-át nem haladja meg.</w:t>
      </w:r>
    </w:p>
    <w:p w14:paraId="46CDADAA" w14:textId="77777777" w:rsidR="00C24D76" w:rsidRPr="00C24D76" w:rsidRDefault="00C24D76" w:rsidP="00C24D76">
      <w:pPr>
        <w:numPr>
          <w:ilvl w:val="0"/>
          <w:numId w:val="1"/>
        </w:numPr>
        <w:jc w:val="both"/>
        <w:rPr>
          <w:rFonts w:ascii="Times New Roman" w:hAnsi="Times New Roman" w:cs="Times New Roman"/>
          <w:sz w:val="24"/>
          <w:szCs w:val="24"/>
        </w:rPr>
      </w:pPr>
      <w:r w:rsidRPr="00C24D76">
        <w:rPr>
          <w:rFonts w:ascii="Times New Roman" w:hAnsi="Times New Roman" w:cs="Times New Roman"/>
          <w:i/>
          <w:iCs/>
          <w:sz w:val="24"/>
          <w:szCs w:val="24"/>
        </w:rPr>
        <w:t>Egyéb műszaki berendezések: </w:t>
      </w:r>
      <w:r w:rsidRPr="00C24D76">
        <w:rPr>
          <w:rFonts w:ascii="Times New Roman" w:hAnsi="Times New Roman" w:cs="Times New Roman"/>
          <w:sz w:val="24"/>
          <w:szCs w:val="24"/>
        </w:rPr>
        <w:t>épületre szerelt műszaki eszköz (pl.: klíma kültéri egység, parabola antenna, közművezeték, mérőóra, napelem, napkollektor)</w:t>
      </w:r>
    </w:p>
    <w:p w14:paraId="5B8C2447" w14:textId="77777777" w:rsidR="00C24D76" w:rsidRPr="00C24D76" w:rsidRDefault="00C24D76" w:rsidP="00C24D76">
      <w:pPr>
        <w:numPr>
          <w:ilvl w:val="0"/>
          <w:numId w:val="1"/>
        </w:numPr>
        <w:jc w:val="both"/>
        <w:rPr>
          <w:rFonts w:ascii="Times New Roman" w:hAnsi="Times New Roman" w:cs="Times New Roman"/>
          <w:sz w:val="24"/>
          <w:szCs w:val="24"/>
        </w:rPr>
      </w:pPr>
      <w:r w:rsidRPr="00C24D76">
        <w:rPr>
          <w:rFonts w:ascii="Times New Roman" w:hAnsi="Times New Roman" w:cs="Times New Roman"/>
          <w:i/>
          <w:iCs/>
          <w:sz w:val="24"/>
          <w:szCs w:val="24"/>
        </w:rPr>
        <w:t>Az információs kiegészítő elemek: </w:t>
      </w:r>
      <w:r w:rsidRPr="00C24D76">
        <w:rPr>
          <w:rFonts w:ascii="Times New Roman" w:hAnsi="Times New Roman" w:cs="Times New Roman"/>
          <w:sz w:val="24"/>
          <w:szCs w:val="24"/>
        </w:rPr>
        <w:t>cégér, cégfelirat, üzletfelirat, címtábla, névtábla</w:t>
      </w:r>
      <w:r w:rsidRPr="00C24D76">
        <w:rPr>
          <w:rFonts w:ascii="Times New Roman" w:hAnsi="Times New Roman" w:cs="Times New Roman"/>
          <w:i/>
          <w:iCs/>
          <w:sz w:val="24"/>
          <w:szCs w:val="24"/>
        </w:rPr>
        <w:t>.</w:t>
      </w:r>
    </w:p>
    <w:p w14:paraId="2A58A99C" w14:textId="77777777" w:rsidR="00C24D76" w:rsidRPr="00C24D76" w:rsidRDefault="00C24D76" w:rsidP="00C24D76">
      <w:pPr>
        <w:numPr>
          <w:ilvl w:val="0"/>
          <w:numId w:val="1"/>
        </w:numPr>
        <w:jc w:val="both"/>
        <w:rPr>
          <w:rFonts w:ascii="Times New Roman" w:hAnsi="Times New Roman" w:cs="Times New Roman"/>
          <w:sz w:val="24"/>
          <w:szCs w:val="24"/>
        </w:rPr>
      </w:pPr>
      <w:proofErr w:type="gramStart"/>
      <w:r w:rsidRPr="00C24D76">
        <w:rPr>
          <w:rFonts w:ascii="Times New Roman" w:hAnsi="Times New Roman" w:cs="Times New Roman"/>
          <w:i/>
          <w:iCs/>
          <w:sz w:val="24"/>
          <w:szCs w:val="24"/>
        </w:rPr>
        <w:t>Információs,</w:t>
      </w:r>
      <w:proofErr w:type="gramEnd"/>
      <w:r w:rsidRPr="00C24D76">
        <w:rPr>
          <w:rFonts w:ascii="Times New Roman" w:hAnsi="Times New Roman" w:cs="Times New Roman"/>
          <w:i/>
          <w:iCs/>
          <w:sz w:val="24"/>
          <w:szCs w:val="24"/>
        </w:rPr>
        <w:t xml:space="preserve"> vagy más célú berendezés: </w:t>
      </w:r>
      <w:r w:rsidRPr="00C24D76">
        <w:rPr>
          <w:rFonts w:ascii="Times New Roman" w:hAnsi="Times New Roman" w:cs="Times New Roman"/>
          <w:sz w:val="24"/>
          <w:szCs w:val="24"/>
        </w:rPr>
        <w:t>minden olyan berendezés (</w:t>
      </w:r>
      <w:proofErr w:type="spellStart"/>
      <w:r w:rsidRPr="00C24D76">
        <w:rPr>
          <w:rFonts w:ascii="Times New Roman" w:hAnsi="Times New Roman" w:cs="Times New Roman"/>
          <w:sz w:val="24"/>
          <w:szCs w:val="24"/>
        </w:rPr>
        <w:t>citylight</w:t>
      </w:r>
      <w:proofErr w:type="spellEnd"/>
      <w:r w:rsidRPr="00C24D76">
        <w:rPr>
          <w:rFonts w:ascii="Times New Roman" w:hAnsi="Times New Roman" w:cs="Times New Roman"/>
          <w:sz w:val="24"/>
          <w:szCs w:val="24"/>
        </w:rPr>
        <w:t>, kétoldali hirdetőtábla, totemoszlop, útbaigazító tábla, amely részben reklámnak nem minősülő információs cél- vagy egyéb cél megvalósításával közérdeket is szolgál.</w:t>
      </w:r>
    </w:p>
    <w:p w14:paraId="6E9C7C44" w14:textId="77777777" w:rsidR="00C24D76" w:rsidRDefault="00C24D76" w:rsidP="00C24D76">
      <w:pPr>
        <w:jc w:val="both"/>
        <w:rPr>
          <w:rFonts w:ascii="Times New Roman" w:hAnsi="Times New Roman" w:cs="Times New Roman"/>
          <w:sz w:val="24"/>
          <w:szCs w:val="24"/>
        </w:rPr>
      </w:pPr>
    </w:p>
    <w:p w14:paraId="266F9C24" w14:textId="0062EFF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II. FEJEZET</w:t>
      </w:r>
    </w:p>
    <w:p w14:paraId="22C5DC15"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A HELYI VÉDELEM</w:t>
      </w:r>
    </w:p>
    <w:p w14:paraId="53889809" w14:textId="04583CFC"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1. A helyi védelem alá helyezés és a védelem megszüntetésének szabályai</w:t>
      </w:r>
    </w:p>
    <w:p w14:paraId="3A3D620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 § </w:t>
      </w:r>
      <w:r w:rsidRPr="00C24D76">
        <w:rPr>
          <w:rFonts w:ascii="Times New Roman" w:hAnsi="Times New Roman" w:cs="Times New Roman"/>
          <w:sz w:val="24"/>
          <w:szCs w:val="24"/>
        </w:rPr>
        <w:t>(1) A helyi egyedi védelem kiterjed a védett építmények és építmény-együttesek egészére, vagy csak azok jelzett részleteire.</w:t>
      </w:r>
    </w:p>
    <w:p w14:paraId="5FE7127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helyi védelem alá helyezést, illetve annak megszüntetését bárki (természetes és jogi személy egyaránt) írásban kezdeményezheti Vasszécseny Község Önkormányzatának polgármesterénél.</w:t>
      </w:r>
    </w:p>
    <w:p w14:paraId="3EBD451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 kezdeményezésnek tartalmaznia kell:</w:t>
      </w:r>
    </w:p>
    <w:p w14:paraId="7E104A9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kezdeményező megnevezését;</w:t>
      </w:r>
    </w:p>
    <w:p w14:paraId="520B38E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b) a védendő érték megnevezését, szükség esetén </w:t>
      </w:r>
      <w:proofErr w:type="spellStart"/>
      <w:r w:rsidRPr="00C24D76">
        <w:rPr>
          <w:rFonts w:ascii="Times New Roman" w:hAnsi="Times New Roman" w:cs="Times New Roman"/>
          <w:sz w:val="24"/>
          <w:szCs w:val="24"/>
        </w:rPr>
        <w:t>körülhatárolását</w:t>
      </w:r>
      <w:proofErr w:type="spellEnd"/>
      <w:r w:rsidRPr="00C24D76">
        <w:rPr>
          <w:rFonts w:ascii="Times New Roman" w:hAnsi="Times New Roman" w:cs="Times New Roman"/>
          <w:sz w:val="24"/>
          <w:szCs w:val="24"/>
        </w:rPr>
        <w:t>;</w:t>
      </w:r>
    </w:p>
    <w:p w14:paraId="13930E6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c) a pontos hely megjelölését (utca, házszám, helyrajzi szám, épület, ill. telekrész);</w:t>
      </w:r>
    </w:p>
    <w:p w14:paraId="0B9C2B0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a védendő érték rövid dokumentálását;</w:t>
      </w:r>
    </w:p>
    <w:p w14:paraId="012BB2C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a kezdeményezés indokolását.</w:t>
      </w:r>
    </w:p>
    <w:p w14:paraId="0476C3E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A kezdeményezésben érintett építményekről, vélt örökségről - amennyiben nem áll rendelkezésre - értékvizsgálati dokumentációt kell készíttetni.</w:t>
      </w:r>
    </w:p>
    <w:p w14:paraId="5B464A9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(5) A védettség megszüntetésére akkor kerülhet sor, ha</w:t>
      </w:r>
    </w:p>
    <w:p w14:paraId="32A74CE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védetté nyilvánított helyi érték megsemmisül,</w:t>
      </w:r>
    </w:p>
    <w:p w14:paraId="573D817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a védett terület, védett érték, a védelem alapját képező értékeit helyreállíthatatlanul elveszítette,</w:t>
      </w:r>
    </w:p>
    <w:p w14:paraId="6D9DC79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a védelem tárgya a védelemmel összefüggő szakmai ismérveknek már nem felel meg,</w:t>
      </w:r>
    </w:p>
    <w:p w14:paraId="58FEDF9E" w14:textId="4D99F817" w:rsid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a védett érték magasabb (műemléki) védettséget kap.</w:t>
      </w:r>
    </w:p>
    <w:p w14:paraId="26CF6758" w14:textId="77777777" w:rsidR="00C24D76" w:rsidRPr="00C24D76" w:rsidRDefault="00C24D76" w:rsidP="00C24D76">
      <w:pPr>
        <w:jc w:val="center"/>
        <w:rPr>
          <w:rFonts w:ascii="Times New Roman" w:hAnsi="Times New Roman" w:cs="Times New Roman"/>
          <w:b/>
          <w:bCs/>
          <w:sz w:val="24"/>
          <w:szCs w:val="24"/>
        </w:rPr>
      </w:pPr>
    </w:p>
    <w:p w14:paraId="52CE2DAC" w14:textId="48285036"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2. Az Önkormányzat döntésével összefüggő feladatok</w:t>
      </w:r>
    </w:p>
    <w:p w14:paraId="4ABAF82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3. §</w:t>
      </w:r>
      <w:r w:rsidRPr="00C24D76">
        <w:rPr>
          <w:rFonts w:ascii="Times New Roman" w:hAnsi="Times New Roman" w:cs="Times New Roman"/>
          <w:sz w:val="24"/>
          <w:szCs w:val="24"/>
        </w:rPr>
        <w:t> (1) Az Önkormányzat a helyi védelem alá tartozó épületekről, műtárgyakról, köztéri műalkotásokról, nyilvántartást vezet.</w:t>
      </w:r>
    </w:p>
    <w:p w14:paraId="01CDB8E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nyilvántartás tartalmazza</w:t>
      </w:r>
    </w:p>
    <w:p w14:paraId="4C3AF7CA"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védettségi kategóriát,</w:t>
      </w:r>
    </w:p>
    <w:p w14:paraId="0D40EEF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fotót,</w:t>
      </w:r>
    </w:p>
    <w:p w14:paraId="0F1CE19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területi helyi védelem esetén a helyrajzi számokat és helyszínrajzot,</w:t>
      </w:r>
    </w:p>
    <w:p w14:paraId="620604A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egyedi helyi védelem esetén a védett érték pontos helyét (cím, helyrajzi szám),</w:t>
      </w:r>
    </w:p>
    <w:p w14:paraId="1BECCB5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az egyedi helyi védelem alá tartozó érték rendeltetését és használatának módját.</w:t>
      </w:r>
    </w:p>
    <w:p w14:paraId="66409DB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Az Önkormányzat a helyi védelem alatt álló egyedi elemeket „Helyi védett épület” feliratú – az Önkormányzat által készíttetett és kihelyezett – táblával jelölheti meg, amelyeknek cseréjéről, pótlásáról gondoskodik.</w:t>
      </w:r>
    </w:p>
    <w:p w14:paraId="3E7E818A" w14:textId="77777777" w:rsidR="00C24D76" w:rsidRDefault="00C24D76" w:rsidP="00C24D76">
      <w:pPr>
        <w:jc w:val="both"/>
        <w:rPr>
          <w:rFonts w:ascii="Times New Roman" w:hAnsi="Times New Roman" w:cs="Times New Roman"/>
          <w:sz w:val="24"/>
          <w:szCs w:val="24"/>
        </w:rPr>
      </w:pPr>
    </w:p>
    <w:p w14:paraId="57EE8324" w14:textId="7DBC5E6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III. FEJEZET</w:t>
      </w:r>
    </w:p>
    <w:p w14:paraId="02F23634" w14:textId="269B6EE3"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A TELEPÜLÉSKÉPI SZEMPONTBÓL MEGHATÁROZÓ TERÜLETEK</w:t>
      </w:r>
    </w:p>
    <w:p w14:paraId="122A47D2" w14:textId="7B1209A5" w:rsid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1. Településképi szempontból meghatározó területek megállapítása</w:t>
      </w:r>
    </w:p>
    <w:p w14:paraId="68C98E21" w14:textId="33F9D342"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4. §</w:t>
      </w:r>
      <w:r w:rsidRPr="00C24D76">
        <w:rPr>
          <w:rFonts w:ascii="Times New Roman" w:hAnsi="Times New Roman" w:cs="Times New Roman"/>
          <w:sz w:val="24"/>
          <w:szCs w:val="24"/>
        </w:rPr>
        <w:t> (1) Településképi szempontból meghatározó területek:</w:t>
      </w:r>
    </w:p>
    <w:p w14:paraId="175E82E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Lakóterületi településrész</w:t>
      </w:r>
    </w:p>
    <w:p w14:paraId="1FCF7AA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Gazdasági és különleges területi településrész</w:t>
      </w:r>
    </w:p>
    <w:p w14:paraId="75A14A1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Különleges kastély településrész</w:t>
      </w:r>
    </w:p>
    <w:p w14:paraId="47A4EE2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d) Mezőgazdasági településrész</w:t>
      </w:r>
    </w:p>
    <w:p w14:paraId="1D517A9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Erdős településrész</w:t>
      </w:r>
    </w:p>
    <w:p w14:paraId="59D857E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f) Zöldterületi településrész</w:t>
      </w:r>
    </w:p>
    <w:p w14:paraId="5BB043F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g) Vízfolyás, vízfelület</w:t>
      </w:r>
    </w:p>
    <w:p w14:paraId="142BD31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h) Védett táji-, természeti területek</w:t>
      </w:r>
    </w:p>
    <w:p w14:paraId="704DDEF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meghatározó területek lehatárolását a 1. melléklet tartalmazza.</w:t>
      </w:r>
    </w:p>
    <w:p w14:paraId="37AA3D5D" w14:textId="77777777" w:rsidR="00C24D76" w:rsidRDefault="00C24D76" w:rsidP="00C24D76">
      <w:pPr>
        <w:jc w:val="both"/>
        <w:rPr>
          <w:rFonts w:ascii="Times New Roman" w:hAnsi="Times New Roman" w:cs="Times New Roman"/>
          <w:sz w:val="24"/>
          <w:szCs w:val="24"/>
        </w:rPr>
      </w:pPr>
    </w:p>
    <w:p w14:paraId="766F79C0" w14:textId="7E08EE48"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IV. FEJEZET</w:t>
      </w:r>
    </w:p>
    <w:p w14:paraId="3D6B74E8" w14:textId="1900E058"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TELEPÜLÉSKÉPI KÖVETELMÉNYEK</w:t>
      </w:r>
    </w:p>
    <w:p w14:paraId="5E70B2C2" w14:textId="77777777"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1. A lakóterületi településrész egyedi építészeti követelmények</w:t>
      </w:r>
    </w:p>
    <w:p w14:paraId="34F63F2E" w14:textId="77777777" w:rsidR="00C24D76" w:rsidRDefault="00C24D76" w:rsidP="00C24D76">
      <w:pPr>
        <w:jc w:val="both"/>
        <w:rPr>
          <w:rFonts w:ascii="Times New Roman" w:hAnsi="Times New Roman" w:cs="Times New Roman"/>
          <w:b/>
          <w:bCs/>
          <w:sz w:val="24"/>
          <w:szCs w:val="24"/>
        </w:rPr>
      </w:pPr>
    </w:p>
    <w:p w14:paraId="2486AB73" w14:textId="51AB555A"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5. §</w:t>
      </w:r>
      <w:r w:rsidRPr="00C24D76">
        <w:rPr>
          <w:rFonts w:ascii="Times New Roman" w:hAnsi="Times New Roman" w:cs="Times New Roman"/>
          <w:sz w:val="24"/>
          <w:szCs w:val="24"/>
        </w:rPr>
        <w:t> (1</w:t>
      </w:r>
      <w:proofErr w:type="gramStart"/>
      <w:r w:rsidRPr="00C24D76">
        <w:rPr>
          <w:rFonts w:ascii="Times New Roman" w:hAnsi="Times New Roman" w:cs="Times New Roman"/>
          <w:sz w:val="24"/>
          <w:szCs w:val="24"/>
        </w:rPr>
        <w:t>)  A</w:t>
      </w:r>
      <w:proofErr w:type="gramEnd"/>
      <w:r w:rsidRPr="00C24D76">
        <w:rPr>
          <w:rFonts w:ascii="Times New Roman" w:hAnsi="Times New Roman" w:cs="Times New Roman"/>
          <w:sz w:val="24"/>
          <w:szCs w:val="24"/>
        </w:rPr>
        <w:t xml:space="preserve"> község területén a gazdasági területek kivételével csak magas tetős épület létesíthető 15-45° közötti tető hajlásszöggel.</w:t>
      </w:r>
    </w:p>
    <w:p w14:paraId="5D6C0EA0" w14:textId="77777777" w:rsidR="00C24D76" w:rsidRPr="00C24D76" w:rsidRDefault="00C24D76" w:rsidP="00C24D76">
      <w:pPr>
        <w:jc w:val="both"/>
        <w:rPr>
          <w:rFonts w:ascii="Times New Roman" w:hAnsi="Times New Roman" w:cs="Times New Roman"/>
          <w:sz w:val="24"/>
          <w:szCs w:val="24"/>
        </w:rPr>
      </w:pPr>
      <w:bookmarkStart w:id="0" w:name="_Hlk522708261"/>
      <w:r w:rsidRPr="00C24D76">
        <w:rPr>
          <w:rFonts w:ascii="Times New Roman" w:hAnsi="Times New Roman" w:cs="Times New Roman"/>
          <w:sz w:val="24"/>
          <w:szCs w:val="24"/>
        </w:rPr>
        <w:t>(2) Az épületek meghatározó tetőhéjazata pikkelyszerű és hagyományos anyagú lehet, főépületen és utcákról, közterületről, táblás jellegű fedés nem alkalmazható. A tetőfedés cserép-rendszerű megjelenéshez hasonló cserép, lemez, környezetéhez illeszkedő sík természetes pala, ill. nád.</w:t>
      </w:r>
      <w:bookmarkEnd w:id="0"/>
    </w:p>
    <w:p w14:paraId="157A04A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Az üzletportálokat, cégtáblákat, feliratokat, előtetőket, nyílászáró-rácsokat és az egyéb díszítéseket, berendezéseket az egész épület tömegformájához, homlokzati jellegéhez és részletmegoldásaihoz illeszkedő anyagokból-, formai megoldásokkal- és színezéssel kell kialakítani.</w:t>
      </w:r>
    </w:p>
    <w:p w14:paraId="0510CC5E" w14:textId="77777777" w:rsidR="00C24D76" w:rsidRPr="00C24D76" w:rsidRDefault="00C24D76" w:rsidP="00C24D76">
      <w:pPr>
        <w:jc w:val="both"/>
        <w:rPr>
          <w:rFonts w:ascii="Times New Roman" w:hAnsi="Times New Roman" w:cs="Times New Roman"/>
          <w:sz w:val="24"/>
          <w:szCs w:val="24"/>
        </w:rPr>
      </w:pPr>
      <w:bookmarkStart w:id="1" w:name="_Hlk508716970"/>
      <w:bookmarkStart w:id="2" w:name="_Hlk515280737"/>
      <w:bookmarkEnd w:id="1"/>
      <w:r w:rsidRPr="00C24D76">
        <w:rPr>
          <w:rFonts w:ascii="Times New Roman" w:hAnsi="Times New Roman" w:cs="Times New Roman"/>
          <w:sz w:val="24"/>
          <w:szCs w:val="24"/>
        </w:rPr>
        <w:t>(4) Utcai, közterületi telekhatáron áttört kerítés is létesíthető legfeljebb 80 cm-es lábazattal. Drótfonat tüskésdróttal nem építhető.</w:t>
      </w:r>
      <w:bookmarkEnd w:id="2"/>
    </w:p>
    <w:p w14:paraId="707CDBE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(5) Lakóépületen hullámpala, bitumenes zsindely, fém lemezfedés, a hagyományos cserépfedés színárnyalataitól (piros) eltérő színű (</w:t>
      </w:r>
      <w:bookmarkStart w:id="3" w:name="_Hlk515280673"/>
      <w:r w:rsidRPr="00C24D76">
        <w:rPr>
          <w:rFonts w:ascii="Times New Roman" w:hAnsi="Times New Roman" w:cs="Times New Roman"/>
          <w:sz w:val="24"/>
          <w:szCs w:val="24"/>
        </w:rPr>
        <w:t>zöld, kék, sárga</w:t>
      </w:r>
      <w:bookmarkEnd w:id="3"/>
      <w:r w:rsidRPr="00C24D76">
        <w:rPr>
          <w:rFonts w:ascii="Times New Roman" w:hAnsi="Times New Roman" w:cs="Times New Roman"/>
          <w:sz w:val="24"/>
          <w:szCs w:val="24"/>
        </w:rPr>
        <w:t>) tetőfedő anyag nem alkalmazható.</w:t>
      </w:r>
    </w:p>
    <w:p w14:paraId="010C4D9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6. §</w:t>
      </w:r>
      <w:r w:rsidRPr="00C24D76">
        <w:rPr>
          <w:rFonts w:ascii="Times New Roman" w:hAnsi="Times New Roman" w:cs="Times New Roman"/>
          <w:sz w:val="24"/>
          <w:szCs w:val="24"/>
        </w:rPr>
        <w:t> Telkek összevonása esetén is követni kell az adott tömbben, vagy környezetében a területre jellemző telepítési módot.</w:t>
      </w:r>
    </w:p>
    <w:p w14:paraId="500A31B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7. §</w:t>
      </w:r>
      <w:r w:rsidRPr="00C24D76">
        <w:rPr>
          <w:rFonts w:ascii="Times New Roman" w:hAnsi="Times New Roman" w:cs="Times New Roman"/>
          <w:sz w:val="24"/>
          <w:szCs w:val="24"/>
        </w:rPr>
        <w:t> (1) Új épületet az építési tömbben jellemző tetőzettel kell kialakítani.</w:t>
      </w:r>
    </w:p>
    <w:p w14:paraId="3221FD5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Kizárólag a kialakult beépítési struktúrába illeszkedő új beépítés valósítható meg, a környezetéből kiugróan nagy tömegű- és magasságú új épület nem létesíthető.</w:t>
      </w:r>
    </w:p>
    <w:p w14:paraId="5D01D3D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 lakótelkek be nem épített részét kertként kell fenntartani.</w:t>
      </w:r>
    </w:p>
    <w:p w14:paraId="2A27DC8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(4) A település lakóterületén közterület felől homlokzati oldalon parabola, </w:t>
      </w:r>
      <w:proofErr w:type="spellStart"/>
      <w:r w:rsidRPr="00C24D76">
        <w:rPr>
          <w:rFonts w:ascii="Times New Roman" w:hAnsi="Times New Roman" w:cs="Times New Roman"/>
          <w:sz w:val="24"/>
          <w:szCs w:val="24"/>
        </w:rPr>
        <w:t>klimaberendezés</w:t>
      </w:r>
      <w:proofErr w:type="spellEnd"/>
      <w:r w:rsidRPr="00C24D76">
        <w:rPr>
          <w:rFonts w:ascii="Times New Roman" w:hAnsi="Times New Roman" w:cs="Times New Roman"/>
          <w:sz w:val="24"/>
          <w:szCs w:val="24"/>
        </w:rPr>
        <w:t>, hírközlés átjátszó berendezése nem helyezhető el.</w:t>
      </w:r>
    </w:p>
    <w:p w14:paraId="56432A1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(5) Az utcaképhez tartozó, utcaképet meghatározó előkertben teraszok, vendéglátó teraszok, üzletek standjai, szabadtéri eladóterületei, kerti tetők oldalsó zárásaként, állandó vagy időszakosan ponyva, nád, fémlemez burkolás nem alkalmazható.</w:t>
      </w:r>
    </w:p>
    <w:p w14:paraId="69B1828C" w14:textId="65E28740" w:rsid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8. § </w:t>
      </w:r>
      <w:r w:rsidRPr="00C24D76">
        <w:rPr>
          <w:rFonts w:ascii="Times New Roman" w:hAnsi="Times New Roman" w:cs="Times New Roman"/>
          <w:sz w:val="24"/>
          <w:szCs w:val="24"/>
        </w:rPr>
        <w:t>Környezetéből kiugró, 25 m-nél magasabb építmény vagy műtárgy elhelyezését környezetbe illeszkedést igazoló látványtervvel kell alátámasztani.</w:t>
      </w:r>
    </w:p>
    <w:p w14:paraId="3E6B7D4A" w14:textId="77777777" w:rsidR="00C24D76" w:rsidRPr="00C24D76" w:rsidRDefault="00C24D76" w:rsidP="00C24D76">
      <w:pPr>
        <w:jc w:val="both"/>
        <w:rPr>
          <w:rFonts w:ascii="Times New Roman" w:hAnsi="Times New Roman" w:cs="Times New Roman"/>
          <w:sz w:val="24"/>
          <w:szCs w:val="24"/>
        </w:rPr>
      </w:pPr>
    </w:p>
    <w:p w14:paraId="59EA33C9" w14:textId="77777777"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2. Gazdasági és különleges területi településrészre vonatkozó területi- és egyedi építészeti követelmények</w:t>
      </w:r>
    </w:p>
    <w:p w14:paraId="08D19AB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9. §</w:t>
      </w:r>
      <w:r w:rsidRPr="00C24D76">
        <w:rPr>
          <w:rFonts w:ascii="Times New Roman" w:hAnsi="Times New Roman" w:cs="Times New Roman"/>
          <w:sz w:val="24"/>
          <w:szCs w:val="24"/>
        </w:rPr>
        <w:t> Környezetéből kiugró, 25 m-nél magasabb építmény vagy műtárgy elhelyezését környezetbe illeszkedést igazoló látványtervvel kell alátámasztani.</w:t>
      </w:r>
    </w:p>
    <w:p w14:paraId="1F65942F" w14:textId="77777777" w:rsidR="00C24D76" w:rsidRDefault="00C24D76" w:rsidP="00C24D76">
      <w:pPr>
        <w:jc w:val="both"/>
        <w:rPr>
          <w:rFonts w:ascii="Times New Roman" w:hAnsi="Times New Roman" w:cs="Times New Roman"/>
          <w:sz w:val="24"/>
          <w:szCs w:val="24"/>
        </w:rPr>
      </w:pPr>
    </w:p>
    <w:p w14:paraId="6C27FE4B" w14:textId="3CB24DF5"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3. Mezőgazdasági területi- és egyedi építészeti követelmények</w:t>
      </w:r>
    </w:p>
    <w:p w14:paraId="5553717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10. §</w:t>
      </w:r>
      <w:r w:rsidRPr="00C24D76">
        <w:rPr>
          <w:rFonts w:ascii="Times New Roman" w:hAnsi="Times New Roman" w:cs="Times New Roman"/>
          <w:sz w:val="24"/>
          <w:szCs w:val="24"/>
        </w:rPr>
        <w:t> (1) Környezetéből kiugró, 25 m-nél magasabb építmény vagy műtárgy elhelyezését környezetbe illeszkedést igazoló látványtervvel kell alátámasztani.</w:t>
      </w:r>
    </w:p>
    <w:p w14:paraId="7D34C38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Beépítésre nem szánt területen kerítés - zajvédő fal kivételével - csak áttört kivitelben és legfeljebb 2,5 m magassággal létesíthető. A kerítés tömör lábazata nem lehet 0,6 méternél magasabb.</w:t>
      </w:r>
    </w:p>
    <w:p w14:paraId="6C3F434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11. §</w:t>
      </w:r>
      <w:r w:rsidRPr="00C24D76">
        <w:rPr>
          <w:rFonts w:ascii="Times New Roman" w:hAnsi="Times New Roman" w:cs="Times New Roman"/>
          <w:sz w:val="24"/>
          <w:szCs w:val="24"/>
        </w:rPr>
        <w:t> (1) Az építmények, épületek tömegformálásának, homlokzatképzésének, anyaghasználatának, részletmegoldásainak illeszkedniük kell az építési övezetben, övezetben, tömbben, utcában, szűkebb környezetben, tájban kialakult megoldásokhoz.</w:t>
      </w:r>
    </w:p>
    <w:p w14:paraId="5204DE3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Épület tetején épületgépészeti kültéri egységek, - a napelem, napkollektor, napelemes cserép kivételéve - csoportosított elrendezésben, takaró szerkezet által rejtve helyezhetők el.</w:t>
      </w:r>
    </w:p>
    <w:p w14:paraId="756F5460" w14:textId="77777777" w:rsidR="00C24D76" w:rsidRDefault="00C24D76" w:rsidP="00C24D76">
      <w:pPr>
        <w:jc w:val="both"/>
        <w:rPr>
          <w:rFonts w:ascii="Times New Roman" w:hAnsi="Times New Roman" w:cs="Times New Roman"/>
          <w:sz w:val="24"/>
          <w:szCs w:val="24"/>
        </w:rPr>
      </w:pPr>
    </w:p>
    <w:p w14:paraId="1FCE0C0C" w14:textId="16F2A34C"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4.  Zöldterületi településrész területi-és egyedi építészeti követelmények</w:t>
      </w:r>
    </w:p>
    <w:p w14:paraId="3EB0EBF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12. §</w:t>
      </w:r>
      <w:r w:rsidRPr="00C24D76">
        <w:rPr>
          <w:rFonts w:ascii="Times New Roman" w:hAnsi="Times New Roman" w:cs="Times New Roman"/>
          <w:sz w:val="24"/>
          <w:szCs w:val="24"/>
        </w:rPr>
        <w:t> (1) A közmű fejlesztés tervezésekor keresztszelvényen is be kell mutatni a távlati közmű elhelyezést, mind a felszín alatti, mind a felszín feletti útszelvény elemeit elhelyezve. Földkábeles villamos hálózat kiépítés esetén a növényállomány megőrzése kiemelt szempont, annak pótlásakor a helyszíni elhelyezésre kell törekedni.</w:t>
      </w:r>
    </w:p>
    <w:p w14:paraId="2458769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telekhatár és az úttest közötti közterületi zöldfelületet (zöldsávot) keresztező, az útkezelői hozzájárulás alapjául szolgáló tervben rögzített útcsatlakozás szélességében (ennek hiányában az ingatlan kapuszélességében) létesíthető csak burkolt felület, amelyet személygépjármű és kistehergépjármű behajtója esetén kiselemes útburkolattal kell kialakítani.</w:t>
      </w:r>
    </w:p>
    <w:p w14:paraId="70CB146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 be nem épített és nem burkolt felületeket növényzettel kell takarni és fenntartani. Külön gondot kell fordítani a szabálytalan út-és téralakulatok közlekedésre igénybe nem vett felületeire.</w:t>
      </w:r>
    </w:p>
    <w:p w14:paraId="39DA126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A magas építmények, tornyok, oszlopok településképi bejelentéssel, táj- és utcaképet nem rontó módon helyezhetők el. Védett területen ilyeneket elhelyezni tilos.</w:t>
      </w:r>
    </w:p>
    <w:p w14:paraId="7DFFC2D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(5) Az újonnan kialakításra kerülő közlekedési- és közműterületeken, valamint zöldterületeken a létesítési és üzembe helyezési engedély csak úgy adható, ha a kertészeti terv alapján tervezett növényültetési kötelezettség teljesítése is megtörténik.</w:t>
      </w:r>
    </w:p>
    <w:p w14:paraId="57E1B2E0" w14:textId="4B04E8CD" w:rsid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(6) A hulladékgyűjtő szigetet a településkép zavarása nélkül, növényzettel takarva lehet elhelyezni.</w:t>
      </w:r>
    </w:p>
    <w:p w14:paraId="1663D91E" w14:textId="77777777" w:rsidR="00C24D76" w:rsidRPr="00C24D76" w:rsidRDefault="00C24D76" w:rsidP="00C24D76">
      <w:pPr>
        <w:jc w:val="both"/>
        <w:rPr>
          <w:rFonts w:ascii="Times New Roman" w:hAnsi="Times New Roman" w:cs="Times New Roman"/>
          <w:sz w:val="24"/>
          <w:szCs w:val="24"/>
        </w:rPr>
      </w:pPr>
    </w:p>
    <w:p w14:paraId="08982B66" w14:textId="77777777"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5. A helyi védelemmel érintett épületekre és értékre vonatkozó területi és egyedi építészeti követelmények</w:t>
      </w:r>
    </w:p>
    <w:p w14:paraId="50C58A5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13. §</w:t>
      </w:r>
      <w:r w:rsidRPr="00C24D76">
        <w:rPr>
          <w:rFonts w:ascii="Times New Roman" w:hAnsi="Times New Roman" w:cs="Times New Roman"/>
          <w:sz w:val="24"/>
          <w:szCs w:val="24"/>
        </w:rPr>
        <w:t> (1) Helyi védett épület nyílászáróinak cseréje esetén</w:t>
      </w:r>
    </w:p>
    <w:p w14:paraId="455A3FB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az épületen meglevő, eredeti nyílászárók külső osztásrendjét meg kell tartani,</w:t>
      </w:r>
    </w:p>
    <w:p w14:paraId="324A59B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az új nyílászárók kövessék az eredeti nyílászárók osztását, ritmusát, jellemző profil kialakítását, a homlokzati megjelenés felőli, külső szárnyak esetében csak az építés korában alkalmazott osztásrendű, anyagú és szerkezetű elemek építhetők be, műanyagból készült, műanyag és aluprofilú külső felületű nyílászáró nem alkalmazható,</w:t>
      </w:r>
    </w:p>
    <w:p w14:paraId="695FC6D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homlokzati nyílászárók, biztonsági rácsok, zsalugáterek, árnyékolók felújítása esetén – a teljes homlokzatra kiterjedő felújítás kivételével – csak az épületen meglévő nyílászárókkal azonos színek alkalmazhatóak.</w:t>
      </w:r>
    </w:p>
    <w:p w14:paraId="1A5B593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Helyi védelemmel érintett épületek, építmények felújítása, átalakítása, bővítése esetén az eredeti állapot visszaállítását, a toldalékok elbontását, valamint az épület, építmény környezetének kertészeti felújítását kell biztosítani.</w:t>
      </w:r>
    </w:p>
    <w:p w14:paraId="2FB16770" w14:textId="77777777" w:rsidR="00C24D76" w:rsidRDefault="00C24D76" w:rsidP="00C24D76">
      <w:pPr>
        <w:jc w:val="both"/>
        <w:rPr>
          <w:rFonts w:ascii="Times New Roman" w:hAnsi="Times New Roman" w:cs="Times New Roman"/>
          <w:sz w:val="24"/>
          <w:szCs w:val="24"/>
        </w:rPr>
      </w:pPr>
    </w:p>
    <w:p w14:paraId="3D7AF856" w14:textId="0F8D02CF"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6. Az egyes sajátos építmények, műtárgyak elhelyezésére elsősorban alkalmas területek kijelölése</w:t>
      </w:r>
    </w:p>
    <w:p w14:paraId="3195D52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14. §</w:t>
      </w:r>
      <w:r w:rsidRPr="00C24D76">
        <w:rPr>
          <w:rFonts w:ascii="Times New Roman" w:hAnsi="Times New Roman" w:cs="Times New Roman"/>
          <w:sz w:val="24"/>
          <w:szCs w:val="24"/>
        </w:rPr>
        <w:t> (1) A nem használt, felhagyott légvezetékeket és tartóelemeiket a szolgáltatónak, vagy a vezeték tulajdonosának az oszlopokról, oszlopsorokról el kell távolítani, valamint az épületekhez való becsatlakozást el kell bontani.</w:t>
      </w:r>
    </w:p>
    <w:p w14:paraId="5C1F382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(2) Új közműkiépítéseknél a kisfeszültségű erőátviteli- és közvilágítási </w:t>
      </w:r>
      <w:proofErr w:type="spellStart"/>
      <w:r w:rsidRPr="00C24D76">
        <w:rPr>
          <w:rFonts w:ascii="Times New Roman" w:hAnsi="Times New Roman" w:cs="Times New Roman"/>
          <w:sz w:val="24"/>
          <w:szCs w:val="24"/>
        </w:rPr>
        <w:t>hálózatokat</w:t>
      </w:r>
      <w:proofErr w:type="spellEnd"/>
      <w:r w:rsidRPr="00C24D76">
        <w:rPr>
          <w:rFonts w:ascii="Times New Roman" w:hAnsi="Times New Roman" w:cs="Times New Roman"/>
          <w:sz w:val="24"/>
          <w:szCs w:val="24"/>
        </w:rPr>
        <w:t xml:space="preserve"> föld </w:t>
      </w:r>
      <w:bookmarkStart w:id="4" w:name="_Hlk513727036"/>
      <w:r w:rsidRPr="00C24D76">
        <w:rPr>
          <w:rFonts w:ascii="Times New Roman" w:hAnsi="Times New Roman" w:cs="Times New Roman"/>
          <w:sz w:val="24"/>
          <w:szCs w:val="24"/>
        </w:rPr>
        <w:t>lehetőség szerint </w:t>
      </w:r>
      <w:bookmarkEnd w:id="4"/>
      <w:r w:rsidRPr="00C24D76">
        <w:rPr>
          <w:rFonts w:ascii="Times New Roman" w:hAnsi="Times New Roman" w:cs="Times New Roman"/>
          <w:sz w:val="24"/>
          <w:szCs w:val="24"/>
        </w:rPr>
        <w:t>föld alatt kell kiépíteni.</w:t>
      </w:r>
    </w:p>
    <w:p w14:paraId="34BAC54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 településképet meghatározó területek nem alkalmasak a teljes település ellátását biztosító felszíni energiaellátási és elektronikus hírközlési sajátos építmények, műtárgyak elhelyezésére.</w:t>
      </w:r>
    </w:p>
    <w:p w14:paraId="7C2E1D3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A 4. mellékletben nem szereplő területek elsősorban alkalmasak a teljes település ellátását biztosító felszíni energiaellátási és elektronikus hírközlési sajátos építmények, műtárgyak elhelyezésére.</w:t>
      </w:r>
    </w:p>
    <w:p w14:paraId="1CA2441C" w14:textId="77777777" w:rsidR="00C24D76" w:rsidRDefault="00C24D76" w:rsidP="00C24D76">
      <w:pPr>
        <w:jc w:val="both"/>
        <w:rPr>
          <w:rFonts w:ascii="Times New Roman" w:hAnsi="Times New Roman" w:cs="Times New Roman"/>
          <w:sz w:val="24"/>
          <w:szCs w:val="24"/>
        </w:rPr>
      </w:pPr>
    </w:p>
    <w:p w14:paraId="530C33F8" w14:textId="77777777" w:rsidR="00C24D76" w:rsidRDefault="00C24D76" w:rsidP="00C24D76">
      <w:pPr>
        <w:jc w:val="both"/>
        <w:rPr>
          <w:rFonts w:ascii="Times New Roman" w:hAnsi="Times New Roman" w:cs="Times New Roman"/>
          <w:sz w:val="24"/>
          <w:szCs w:val="24"/>
        </w:rPr>
      </w:pPr>
    </w:p>
    <w:p w14:paraId="301C358D" w14:textId="77777777" w:rsidR="00C24D76" w:rsidRDefault="00C24D76" w:rsidP="00C24D76">
      <w:pPr>
        <w:jc w:val="both"/>
        <w:rPr>
          <w:rFonts w:ascii="Times New Roman" w:hAnsi="Times New Roman" w:cs="Times New Roman"/>
          <w:sz w:val="24"/>
          <w:szCs w:val="24"/>
        </w:rPr>
      </w:pPr>
    </w:p>
    <w:p w14:paraId="25E763E0" w14:textId="77777777" w:rsidR="00C24D76" w:rsidRDefault="00C24D76" w:rsidP="00C24D76">
      <w:pPr>
        <w:jc w:val="both"/>
        <w:rPr>
          <w:rFonts w:ascii="Times New Roman" w:hAnsi="Times New Roman" w:cs="Times New Roman"/>
          <w:sz w:val="24"/>
          <w:szCs w:val="24"/>
        </w:rPr>
      </w:pPr>
    </w:p>
    <w:p w14:paraId="3F39E85A" w14:textId="38EF47C4"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lastRenderedPageBreak/>
        <w:t>7. A reklámokra és reklámhordozókra vonatkozó településképi követelmények</w:t>
      </w:r>
    </w:p>
    <w:p w14:paraId="2B93A77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15. §</w:t>
      </w:r>
      <w:r w:rsidRPr="00C24D76">
        <w:rPr>
          <w:rFonts w:ascii="Times New Roman" w:hAnsi="Times New Roman" w:cs="Times New Roman"/>
          <w:sz w:val="24"/>
          <w:szCs w:val="24"/>
        </w:rPr>
        <w:t> (1) Vasszécseny közigazgatási területén közterületen vagy köztulajdonban álló ingatlanon csak a tulajdonos hozzájárulásával, településképi bejelentés alapján helyezhető el reklámhordozó és reklámhordozót tartó berendezés.</w:t>
      </w:r>
    </w:p>
    <w:p w14:paraId="5A8BD00D" w14:textId="77777777" w:rsidR="00C24D76" w:rsidRPr="00C24D76" w:rsidRDefault="00C24D76" w:rsidP="00C24D76">
      <w:pPr>
        <w:jc w:val="both"/>
        <w:rPr>
          <w:rFonts w:ascii="Times New Roman" w:hAnsi="Times New Roman" w:cs="Times New Roman"/>
          <w:sz w:val="24"/>
          <w:szCs w:val="24"/>
        </w:rPr>
      </w:pPr>
      <w:bookmarkStart w:id="5" w:name="_Hlk522708849"/>
      <w:r w:rsidRPr="00C24D76">
        <w:rPr>
          <w:rFonts w:ascii="Times New Roman" w:hAnsi="Times New Roman" w:cs="Times New Roman"/>
          <w:sz w:val="24"/>
          <w:szCs w:val="24"/>
        </w:rPr>
        <w:t>(2) A település teljes külterületén tilos reklám, reklámhordozó elhelyezése.</w:t>
      </w:r>
      <w:bookmarkEnd w:id="5"/>
    </w:p>
    <w:p w14:paraId="40B9646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(3) Védett természeti területeken, </w:t>
      </w:r>
      <w:proofErr w:type="spellStart"/>
      <w:r w:rsidRPr="00C24D76">
        <w:rPr>
          <w:rFonts w:ascii="Times New Roman" w:hAnsi="Times New Roman" w:cs="Times New Roman"/>
          <w:sz w:val="24"/>
          <w:szCs w:val="24"/>
        </w:rPr>
        <w:t>Natura</w:t>
      </w:r>
      <w:proofErr w:type="spellEnd"/>
      <w:r w:rsidRPr="00C24D76">
        <w:rPr>
          <w:rFonts w:ascii="Times New Roman" w:hAnsi="Times New Roman" w:cs="Times New Roman"/>
          <w:sz w:val="24"/>
          <w:szCs w:val="24"/>
        </w:rPr>
        <w:t xml:space="preserve"> 2000 területeken, ökológiai hálózat magterületén és ökológiai folyosó területén, egyedi tájérték, tájképvédelmi szempontból kiemelten kezelendő területeken, térségi jelentőségű tájképvédelmi területeken reklámhordozó és reklám – a 2016. évi LXXIV. törvényben meghatározott kivétellel – nem helyezhető el.</w:t>
      </w:r>
    </w:p>
    <w:p w14:paraId="234EA46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Vasszécseny község közigazgatási területéhez tartozó településképi szempontból meghatározó területein:</w:t>
      </w:r>
    </w:p>
    <w:p w14:paraId="1B05F87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a) a közművelődési hirdetőoszlopon, </w:t>
      </w:r>
      <w:proofErr w:type="spellStart"/>
      <w:r w:rsidRPr="00C24D76">
        <w:rPr>
          <w:rFonts w:ascii="Times New Roman" w:hAnsi="Times New Roman" w:cs="Times New Roman"/>
          <w:sz w:val="24"/>
          <w:szCs w:val="24"/>
        </w:rPr>
        <w:t>citylighton</w:t>
      </w:r>
      <w:proofErr w:type="spellEnd"/>
      <w:r w:rsidRPr="00C24D76">
        <w:rPr>
          <w:rFonts w:ascii="Times New Roman" w:hAnsi="Times New Roman" w:cs="Times New Roman"/>
          <w:sz w:val="24"/>
          <w:szCs w:val="24"/>
        </w:rPr>
        <w:t>, útbaigazító táblarendszeren vagy utasvárón lehet reklámot elhelyezni,</w:t>
      </w:r>
    </w:p>
    <w:p w14:paraId="4F196FB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saját tevékenységet hirdető ideiglenes reklám elhelyezése építési hálón az építési napló vezetésére fennálló kötelezettség és építési napló vezetésére nem kötelezett építési tevékenység esetén az építkezés időtartama alatt lehetséges,</w:t>
      </w:r>
    </w:p>
    <w:p w14:paraId="1DDF260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az önkormányzat által szervezett vagy támogatott rendezvényről tájékoztató ideiglenes reklám elhelyezése információs berendezésen, közművelődési célú hirdetőoszlopon, molinón lehetséges,</w:t>
      </w:r>
    </w:p>
    <w:p w14:paraId="14C1D77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Az épületek, építmények erre a célra szolgáló portáljainak, kirakatainak üvegfelületei mögött - az üvegmező felületének 30%-át meg nem haladó méretű, nem kirívó színezésű, legfeljebb súrolt fénnyel megvilágított, az üvegfelülettől legalább 5 cm-</w:t>
      </w:r>
      <w:proofErr w:type="spellStart"/>
      <w:r w:rsidRPr="00C24D76">
        <w:rPr>
          <w:rFonts w:ascii="Times New Roman" w:hAnsi="Times New Roman" w:cs="Times New Roman"/>
          <w:sz w:val="24"/>
          <w:szCs w:val="24"/>
        </w:rPr>
        <w:t>rel</w:t>
      </w:r>
      <w:proofErr w:type="spellEnd"/>
      <w:r w:rsidRPr="00C24D76">
        <w:rPr>
          <w:rFonts w:ascii="Times New Roman" w:hAnsi="Times New Roman" w:cs="Times New Roman"/>
          <w:sz w:val="24"/>
          <w:szCs w:val="24"/>
        </w:rPr>
        <w:t xml:space="preserve"> eltartottan befüggesztett reklám és reklámhordozó helyezhető el.</w:t>
      </w:r>
    </w:p>
    <w:p w14:paraId="6B74E28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Építési reklámhálót csak építési állványzatra lehet feltenni, kizárólag az építkezés ideje alatt, az építési naplóban igazoltan.</w:t>
      </w:r>
    </w:p>
    <w:p w14:paraId="7E23222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f) Állandó elhelyezésű kioszk, pavilon esetében, annak legfeljebb egyik oldala alakítható ki reklámfelületként.</w:t>
      </w:r>
    </w:p>
    <w:p w14:paraId="24E1BBD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g) Utasváró esetében – az erre a célra kialakított helyen - legfeljebb egy kétoldali reklámfelület alakítható ki.</w:t>
      </w:r>
    </w:p>
    <w:p w14:paraId="02EFC4D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h) Az előkertekben, a közterület és közforgalom számára megnyitott magánterület felől látható helyen az ingatlan elidegenítésére vonatkozó hirdetés legfeljebb 1 m2 felületű ideiglenes reklámhordozón helyezhető el.</w:t>
      </w:r>
    </w:p>
    <w:p w14:paraId="435FBD4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i) Az előkertekben, a közterület és közforgalom számára megnyitott magánterület felől látható helyen benzinkutak, autószalonok, 500 m2-nél nagyobb kereskedelmi-szolgáltató intézmények, nagyméretű irodaházak esetében legfeljebb 1 db, az építménytől függetlenül elhelyezett, 6,00 m-nél nem magasabb, igényesen kivitelezett totemoszlop helyezhető el.</w:t>
      </w:r>
    </w:p>
    <w:p w14:paraId="4AEE389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(5) Az állandó díszvilágítást, fényreklámot és egyéb fénylő hirdető berendezést az egyéb előírások betartása mellett csak úgy lehet kialakítani, hogy a fényhatás az adott és a környező épületek és közterületek rendeltetésszerű használatát ne zavarja, a közlekedés biztonságát, a </w:t>
      </w:r>
      <w:r w:rsidRPr="00C24D76">
        <w:rPr>
          <w:rFonts w:ascii="Times New Roman" w:hAnsi="Times New Roman" w:cs="Times New Roman"/>
          <w:sz w:val="24"/>
          <w:szCs w:val="24"/>
        </w:rPr>
        <w:lastRenderedPageBreak/>
        <w:t>természetes élőhelyek életfolyamatait ne veszélyeztesse, és a terület látványát kedvezőtlenül ne befolyásolja.</w:t>
      </w:r>
    </w:p>
    <w:p w14:paraId="103C41A8" w14:textId="77777777" w:rsidR="00C24D76" w:rsidRDefault="00C24D76" w:rsidP="00C24D76">
      <w:pPr>
        <w:jc w:val="both"/>
        <w:rPr>
          <w:rFonts w:ascii="Times New Roman" w:hAnsi="Times New Roman" w:cs="Times New Roman"/>
          <w:sz w:val="24"/>
          <w:szCs w:val="24"/>
        </w:rPr>
      </w:pPr>
    </w:p>
    <w:p w14:paraId="2FFD24B6" w14:textId="4EA0F74E"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8. Információs kiegészítő elemek elhelyezésére vonatkozó egyedi építészeti követelmények</w:t>
      </w:r>
    </w:p>
    <w:p w14:paraId="1D7634A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16. §</w:t>
      </w:r>
      <w:r w:rsidRPr="00C24D76">
        <w:rPr>
          <w:rFonts w:ascii="Times New Roman" w:hAnsi="Times New Roman" w:cs="Times New Roman"/>
          <w:sz w:val="24"/>
          <w:szCs w:val="24"/>
        </w:rPr>
        <w:t> (1) Az információs kiegészítő elemek (cégér, cégfelirat, üzletfelirat, címtábla, névtábla) méretének, kialakításának, anyaghasználatának az épület, építmény karakteréhez, tagozataihoz, színezéséhez, arányrendszeréhez igazodónak kell lennie.</w:t>
      </w:r>
    </w:p>
    <w:p w14:paraId="5ACDEE8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Egy építményen, épületen megjelenő több információs kiegészítő elem anyaghasználatának, méretének kialakításának egymással összhangban kell lenniük.</w:t>
      </w:r>
    </w:p>
    <w:p w14:paraId="2943F24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Az információs kiegészítő elemek még részben sem takarhatják az épület nyílászáró szerkezetét, párkányát, korlátját és egyéb meghatározó építészeti elemét.</w:t>
      </w:r>
    </w:p>
    <w:p w14:paraId="2EB1793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Az építményen elhelyezett, az ingatlan elidegenítésére vonatkozó hirdetés legfeljebb 0,6 m2 felületű lehet.</w:t>
      </w:r>
    </w:p>
    <w:p w14:paraId="6983DF0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17. §</w:t>
      </w:r>
      <w:r w:rsidRPr="00C24D76">
        <w:rPr>
          <w:rFonts w:ascii="Times New Roman" w:hAnsi="Times New Roman" w:cs="Times New Roman"/>
          <w:sz w:val="24"/>
          <w:szCs w:val="24"/>
        </w:rPr>
        <w:t> (1) A község területén levő épületeken, építményeken információs kiegészítő elemek elhelyezésére az alábbi rendelkezések vonatkoznak:</w:t>
      </w:r>
    </w:p>
    <w:p w14:paraId="031054F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lakóépületben vagy önálló épületben kialakított, kereskedelmi, szolgáltató, irodai, kulturális, vendéglátó funkció esetében, a tevékenységet magába foglaló épületrészhez kötődő, földszinti és fogadószinti homlokzaton, a nyílászárók feletti sávban, csak cég- és névtábla, cégfelirat, 0,4 m2 felületet nem meghaladó cégér, egyedi címfestett tábla helyezhető el,</w:t>
      </w:r>
    </w:p>
    <w:p w14:paraId="2498EC9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több – belső közlekedőből megközelíthető - rendeltetési egységet magába foglaló üzletközpont esetében, - az a) pontban meghatározottakon túl - az osztás és nyílás nélküli, jellemzően tömör homlokzat szerves részeként kialakított, az épület léptékéhez igazodó méretű és alakú, cserélhető tartalmú információs elem helyezhető el,</w:t>
      </w:r>
    </w:p>
    <w:p w14:paraId="19B81FD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üzemi, ipari épületeken, raktárakon csak a saját tevékenységet jelző cég- és névtábla, cégfelirat, cégér, egyedi címfestett tábla helyezhető el.</w:t>
      </w:r>
    </w:p>
    <w:p w14:paraId="47A954B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műemléki területen és azon álló épületeken, építményeken, valamint műemléki (M) és helyi védelem alatt álló épületeken, építményeken – a homlokzatok meglévő, vagy tervezett, vízszintes és függőleges tagolásához, nyílászárók kiosztásához, azok ritmusához, szabad felületek arányaihoz és méretéhez illeszkedő - cégtábla, címtábla, cégér az alábbiak szerint helyezhető el, alakítható ki:</w:t>
      </w:r>
    </w:p>
    <w:p w14:paraId="4622D3E1"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a) egy épületben több rendeltetési egység esetében egymással összhangban kialakított, egységenként legfeljebb 1-1 db hirdető-berendezés helyezhető el egységes információs rendszer részeként, a homlokzati arányokat </w:t>
      </w:r>
      <w:proofErr w:type="spellStart"/>
      <w:r w:rsidRPr="00C24D76">
        <w:rPr>
          <w:rFonts w:ascii="Times New Roman" w:hAnsi="Times New Roman" w:cs="Times New Roman"/>
          <w:sz w:val="24"/>
          <w:szCs w:val="24"/>
        </w:rPr>
        <w:t>figyelembevevő</w:t>
      </w:r>
      <w:proofErr w:type="spellEnd"/>
      <w:r w:rsidRPr="00C24D76">
        <w:rPr>
          <w:rFonts w:ascii="Times New Roman" w:hAnsi="Times New Roman" w:cs="Times New Roman"/>
          <w:sz w:val="24"/>
          <w:szCs w:val="24"/>
        </w:rPr>
        <w:t xml:space="preserve"> méretekkel,</w:t>
      </w:r>
    </w:p>
    <w:p w14:paraId="412746D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portál, vagy kirakat erre a célra kialakított felirati mezőjén önálló betű és logó, ragasztva, vagy a háttértől eltartottan felerősítve, igény esetén élben, háttérből, vagy kívülről derítő fénnyel megvilágítva,</w:t>
      </w:r>
    </w:p>
    <w:p w14:paraId="1AD47EDE"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ba</w:t>
      </w:r>
      <w:proofErr w:type="spellEnd"/>
      <w:r w:rsidRPr="00C24D76">
        <w:rPr>
          <w:rFonts w:ascii="Times New Roman" w:hAnsi="Times New Roman" w:cs="Times New Roman"/>
          <w:sz w:val="24"/>
          <w:szCs w:val="24"/>
        </w:rPr>
        <w:t>) festett, polisztirol, öntött, anyagában színezett műanyag,</w:t>
      </w:r>
    </w:p>
    <w:p w14:paraId="6513D44D"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bb</w:t>
      </w:r>
      <w:proofErr w:type="spellEnd"/>
      <w:r w:rsidRPr="00C24D76">
        <w:rPr>
          <w:rFonts w:ascii="Times New Roman" w:hAnsi="Times New Roman" w:cs="Times New Roman"/>
          <w:sz w:val="24"/>
          <w:szCs w:val="24"/>
        </w:rPr>
        <w:t>) fa, festett gipsz, kerámia,</w:t>
      </w:r>
    </w:p>
    <w:p w14:paraId="44C47D04"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lastRenderedPageBreak/>
        <w:t>bc</w:t>
      </w:r>
      <w:proofErr w:type="spellEnd"/>
      <w:r w:rsidRPr="00C24D76">
        <w:rPr>
          <w:rFonts w:ascii="Times New Roman" w:hAnsi="Times New Roman" w:cs="Times New Roman"/>
          <w:sz w:val="24"/>
          <w:szCs w:val="24"/>
        </w:rPr>
        <w:t>) festett fém, rozsdamentes acél, réz, szálcsiszolt alumínium,</w:t>
      </w:r>
    </w:p>
    <w:p w14:paraId="40FCE3A3"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bd</w:t>
      </w:r>
      <w:proofErr w:type="spellEnd"/>
      <w:r w:rsidRPr="00C24D76">
        <w:rPr>
          <w:rFonts w:ascii="Times New Roman" w:hAnsi="Times New Roman" w:cs="Times New Roman"/>
          <w:sz w:val="24"/>
          <w:szCs w:val="24"/>
        </w:rPr>
        <w:t>) natúr, savmaratott, pasztellszínű edzett üveg anyagokból.</w:t>
      </w:r>
    </w:p>
    <w:p w14:paraId="40B5AE3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vakolt, vagy burkolt felületre a portál, kirakat felső széle és a földszintet az emelettől elválasztó osztópárkány, vagy képzeletbeli vonala között levő sávban, földszintes épület esetében az épített párkány, vagy ereszvonalig terjedő sávban – az a) pontban megjelölt lehetőségeken túl,</w:t>
      </w:r>
    </w:p>
    <w:p w14:paraId="14EA6C0C"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ca</w:t>
      </w:r>
      <w:proofErr w:type="spellEnd"/>
      <w:r w:rsidRPr="00C24D76">
        <w:rPr>
          <w:rFonts w:ascii="Times New Roman" w:hAnsi="Times New Roman" w:cs="Times New Roman"/>
          <w:sz w:val="24"/>
          <w:szCs w:val="24"/>
        </w:rPr>
        <w:t>) homlokzatra festett kivitelben,</w:t>
      </w:r>
    </w:p>
    <w:p w14:paraId="003FD4F1"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cb</w:t>
      </w:r>
      <w:proofErr w:type="spellEnd"/>
      <w:r w:rsidRPr="00C24D76">
        <w:rPr>
          <w:rFonts w:ascii="Times New Roman" w:hAnsi="Times New Roman" w:cs="Times New Roman"/>
          <w:sz w:val="24"/>
          <w:szCs w:val="24"/>
        </w:rPr>
        <w:t>) fából, festett fémből, rozsdamentes acélból készült – keretezett, vagy keretezés nélküli - táblára festve vagy ragasztva,</w:t>
      </w:r>
    </w:p>
    <w:p w14:paraId="2BD8C71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cc) </w:t>
      </w:r>
      <w:proofErr w:type="gramStart"/>
      <w:r w:rsidRPr="00C24D76">
        <w:rPr>
          <w:rFonts w:ascii="Times New Roman" w:hAnsi="Times New Roman" w:cs="Times New Roman"/>
          <w:sz w:val="24"/>
          <w:szCs w:val="24"/>
        </w:rPr>
        <w:t>a  homlokzat</w:t>
      </w:r>
      <w:proofErr w:type="gramEnd"/>
      <w:r w:rsidRPr="00C24D76">
        <w:rPr>
          <w:rFonts w:ascii="Times New Roman" w:hAnsi="Times New Roman" w:cs="Times New Roman"/>
          <w:sz w:val="24"/>
          <w:szCs w:val="24"/>
        </w:rPr>
        <w:t>  síkjától  eltartott,  kifeszített,  impregnált  fény-  és  vízálló szövetre festett kivitelben,</w:t>
      </w:r>
    </w:p>
    <w:p w14:paraId="365A974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cd) homlokzat síkjától eltartott, negatív betű kivágású fémtáblából,</w:t>
      </w:r>
    </w:p>
    <w:p w14:paraId="4C6A1918"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ce</w:t>
      </w:r>
      <w:proofErr w:type="spellEnd"/>
      <w:r w:rsidRPr="00C24D76">
        <w:rPr>
          <w:rFonts w:ascii="Times New Roman" w:hAnsi="Times New Roman" w:cs="Times New Roman"/>
          <w:sz w:val="24"/>
          <w:szCs w:val="24"/>
        </w:rPr>
        <w:t>) pasztell árnyalatú színes, vagy savmaratott biztonsági üvegtáblán festett, vagy ragasztott kivitelben - igény szerint hátulról derített megvilágítással.</w:t>
      </w:r>
    </w:p>
    <w:p w14:paraId="1D517E3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kirakatra, portálra, homlokzati felületre elhelyezett hirdető-berendezésen túl, épületenként legfeljebb 1db. - falra merőlegesen elhelyezett, legfeljebb 70 cm kiállású, legfeljebb 0,4 m2 befoglaló méretű cégér, a tevékenység, vagy logó ábrázolásával, igény szerint élben, vagy kívülről megvilágítva,</w:t>
      </w:r>
    </w:p>
    <w:p w14:paraId="5A62FAC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da) impregnált fa, festett fém, rozsdamentes acél, kovácsoltvas,</w:t>
      </w:r>
    </w:p>
    <w:p w14:paraId="223BDAD2"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db) natúr, savmaratott, vagy pasztellszínű, biztonsági üveg anyagokból.</w:t>
      </w:r>
    </w:p>
    <w:p w14:paraId="52DEA558" w14:textId="77777777" w:rsidR="00C24D76" w:rsidRDefault="00C24D76" w:rsidP="00C24D76">
      <w:pPr>
        <w:jc w:val="both"/>
        <w:rPr>
          <w:rFonts w:ascii="Times New Roman" w:hAnsi="Times New Roman" w:cs="Times New Roman"/>
          <w:sz w:val="24"/>
          <w:szCs w:val="24"/>
        </w:rPr>
      </w:pPr>
    </w:p>
    <w:p w14:paraId="42455A52" w14:textId="5DFC18D5"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9. Az egyéb műszaki berendezésekre vonatkozó településképi</w:t>
      </w:r>
      <w:r>
        <w:rPr>
          <w:rFonts w:ascii="Times New Roman" w:hAnsi="Times New Roman" w:cs="Times New Roman"/>
          <w:b/>
          <w:bCs/>
          <w:sz w:val="24"/>
          <w:szCs w:val="24"/>
        </w:rPr>
        <w:t xml:space="preserve"> </w:t>
      </w:r>
      <w:r w:rsidRPr="00C24D76">
        <w:rPr>
          <w:rFonts w:ascii="Times New Roman" w:hAnsi="Times New Roman" w:cs="Times New Roman"/>
          <w:b/>
          <w:bCs/>
          <w:sz w:val="24"/>
          <w:szCs w:val="24"/>
        </w:rPr>
        <w:t>követelmények</w:t>
      </w:r>
    </w:p>
    <w:p w14:paraId="79A6CD3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18. §</w:t>
      </w:r>
      <w:r w:rsidRPr="00C24D76">
        <w:rPr>
          <w:rFonts w:ascii="Times New Roman" w:hAnsi="Times New Roman" w:cs="Times New Roman"/>
          <w:sz w:val="24"/>
          <w:szCs w:val="24"/>
        </w:rPr>
        <w:t> (1) Magastetős épület esetén a táblás napelemeket, napkollektorokat napelemes cserép kivételével a tető lejtésével párhuzamosan úgy kell elhelyezni, hogy</w:t>
      </w:r>
    </w:p>
    <w:p w14:paraId="0F1C61A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széleik igazodjanak egymáshoz és a tetősík ablakhoz,</w:t>
      </w:r>
    </w:p>
    <w:p w14:paraId="4EDAD1A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sorolva, lépcsőztetés nélkül téglalap alakú felületet képezzenek.</w:t>
      </w:r>
    </w:p>
    <w:p w14:paraId="3BAAD8C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Színben és formában a tetőfelület anyagával harmonizáló napelemes cserép alkalmazása teljes tetőfelületen megengedett valamennyi építmény esetében.</w:t>
      </w:r>
    </w:p>
    <w:p w14:paraId="244B189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Épület közterületről látható homlokzatán vezeték (kábel, gáz- és egyéb csővezeték) nem vezethető látható módon, a falsíkon kívül.</w:t>
      </w:r>
    </w:p>
    <w:p w14:paraId="6FFB51F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Épületek tetőszerkezetén elhelyezett antennatartó szerkezet legmagasabb pontja az építmény legmagasabb pontjánál legfeljebb 6 m-</w:t>
      </w:r>
      <w:proofErr w:type="spellStart"/>
      <w:r w:rsidRPr="00C24D76">
        <w:rPr>
          <w:rFonts w:ascii="Times New Roman" w:hAnsi="Times New Roman" w:cs="Times New Roman"/>
          <w:sz w:val="24"/>
          <w:szCs w:val="24"/>
        </w:rPr>
        <w:t>rel</w:t>
      </w:r>
      <w:proofErr w:type="spellEnd"/>
      <w:r w:rsidRPr="00C24D76">
        <w:rPr>
          <w:rFonts w:ascii="Times New Roman" w:hAnsi="Times New Roman" w:cs="Times New Roman"/>
          <w:sz w:val="24"/>
          <w:szCs w:val="24"/>
        </w:rPr>
        <w:t xml:space="preserve"> lehet magasabb.</w:t>
      </w:r>
    </w:p>
    <w:p w14:paraId="1783526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(5) Kisméretű mobilhálózati bázisállomás (</w:t>
      </w:r>
      <w:proofErr w:type="spellStart"/>
      <w:r w:rsidRPr="00C24D76">
        <w:rPr>
          <w:rFonts w:ascii="Times New Roman" w:hAnsi="Times New Roman" w:cs="Times New Roman"/>
          <w:sz w:val="24"/>
          <w:szCs w:val="24"/>
        </w:rPr>
        <w:t>mikrocella</w:t>
      </w:r>
      <w:proofErr w:type="spellEnd"/>
      <w:r w:rsidRPr="00C24D76">
        <w:rPr>
          <w:rFonts w:ascii="Times New Roman" w:hAnsi="Times New Roman" w:cs="Times New Roman"/>
          <w:sz w:val="24"/>
          <w:szCs w:val="24"/>
        </w:rPr>
        <w:t>) meglévő közműoszlopokon elhelyezhető, épületen utca felől takart módon helyezhető el.</w:t>
      </w:r>
    </w:p>
    <w:p w14:paraId="23FD411D" w14:textId="77777777" w:rsidR="00C24D76" w:rsidRPr="00C24D76" w:rsidRDefault="00C24D76" w:rsidP="00C24D76">
      <w:pPr>
        <w:jc w:val="both"/>
        <w:rPr>
          <w:rFonts w:ascii="Times New Roman" w:hAnsi="Times New Roman" w:cs="Times New Roman"/>
          <w:sz w:val="24"/>
          <w:szCs w:val="24"/>
        </w:rPr>
      </w:pPr>
    </w:p>
    <w:p w14:paraId="45B7CD80"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lastRenderedPageBreak/>
        <w:t>V. FEJEZET</w:t>
      </w:r>
    </w:p>
    <w:p w14:paraId="1AFFE7FC" w14:textId="2B5196D8"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TELEPÜLÉSKÉP-VÉDELMI TÁJÉKOZTATÁS ÉS SZAKMAI KONZULTÁCIÓ</w:t>
      </w:r>
    </w:p>
    <w:p w14:paraId="66737367" w14:textId="77777777"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1. Rendelkezés a szakmai konzultációról</w:t>
      </w:r>
    </w:p>
    <w:p w14:paraId="761F33D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19. § </w:t>
      </w:r>
      <w:r w:rsidRPr="00C24D76">
        <w:rPr>
          <w:rFonts w:ascii="Times New Roman" w:hAnsi="Times New Roman" w:cs="Times New Roman"/>
          <w:sz w:val="24"/>
          <w:szCs w:val="24"/>
        </w:rPr>
        <w:t>E rendeletben foglalt településkép-védelmi követelmények teljesülése érdekében a polgármester az ügyfél írásbeli kérelmére a településkép-védelmi követelményekről tájékoztatást ad. A tájékoztatás szakmai konzultáció keretében történik.</w:t>
      </w:r>
    </w:p>
    <w:p w14:paraId="2614E838" w14:textId="77777777" w:rsidR="00C24D76" w:rsidRPr="00C24D76" w:rsidRDefault="00C24D76" w:rsidP="00C24D76">
      <w:pPr>
        <w:jc w:val="both"/>
        <w:rPr>
          <w:rFonts w:ascii="Times New Roman" w:hAnsi="Times New Roman" w:cs="Times New Roman"/>
          <w:sz w:val="24"/>
          <w:szCs w:val="24"/>
        </w:rPr>
      </w:pPr>
    </w:p>
    <w:p w14:paraId="0B1D84D6"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b/>
          <w:bCs/>
          <w:sz w:val="24"/>
          <w:szCs w:val="24"/>
        </w:rPr>
        <w:t>2. A szakmai konzultáció eljárás rendje</w:t>
      </w:r>
    </w:p>
    <w:p w14:paraId="067DCD1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20. §</w:t>
      </w:r>
      <w:r w:rsidRPr="00C24D76">
        <w:rPr>
          <w:rFonts w:ascii="Times New Roman" w:hAnsi="Times New Roman" w:cs="Times New Roman"/>
          <w:sz w:val="24"/>
          <w:szCs w:val="24"/>
        </w:rPr>
        <w:t> (1) Az írásos kérelemnek tartalmaznia kell a rendelet 2. mellékletében foglalt kérelemnyomtatványban foglaltakat, így:</w:t>
      </w:r>
    </w:p>
    <w:p w14:paraId="233128B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kérelmező alábbi személyes adatait:</w:t>
      </w:r>
    </w:p>
    <w:p w14:paraId="2FF4EEDF" w14:textId="77777777" w:rsidR="00C24D76" w:rsidRPr="00C24D76" w:rsidRDefault="00C24D76" w:rsidP="00C24D76">
      <w:pPr>
        <w:jc w:val="both"/>
        <w:rPr>
          <w:rFonts w:ascii="Times New Roman" w:hAnsi="Times New Roman" w:cs="Times New Roman"/>
          <w:sz w:val="24"/>
          <w:szCs w:val="24"/>
        </w:rPr>
      </w:pPr>
      <w:proofErr w:type="spellStart"/>
      <w:proofErr w:type="gramStart"/>
      <w:r w:rsidRPr="00C24D76">
        <w:rPr>
          <w:rFonts w:ascii="Times New Roman" w:hAnsi="Times New Roman" w:cs="Times New Roman"/>
          <w:sz w:val="24"/>
          <w:szCs w:val="24"/>
        </w:rPr>
        <w:t>aa</w:t>
      </w:r>
      <w:proofErr w:type="spellEnd"/>
      <w:r w:rsidRPr="00C24D76">
        <w:rPr>
          <w:rFonts w:ascii="Times New Roman" w:hAnsi="Times New Roman" w:cs="Times New Roman"/>
          <w:sz w:val="24"/>
          <w:szCs w:val="24"/>
        </w:rPr>
        <w:t>)  nevét</w:t>
      </w:r>
      <w:proofErr w:type="gramEnd"/>
    </w:p>
    <w:p w14:paraId="627C9F6D" w14:textId="77777777" w:rsidR="00C24D76" w:rsidRPr="00C24D76" w:rsidRDefault="00C24D76" w:rsidP="00C24D76">
      <w:pPr>
        <w:jc w:val="both"/>
        <w:rPr>
          <w:rFonts w:ascii="Times New Roman" w:hAnsi="Times New Roman" w:cs="Times New Roman"/>
          <w:sz w:val="24"/>
          <w:szCs w:val="24"/>
        </w:rPr>
      </w:pPr>
      <w:proofErr w:type="gramStart"/>
      <w:r w:rsidRPr="00C24D76">
        <w:rPr>
          <w:rFonts w:ascii="Times New Roman" w:hAnsi="Times New Roman" w:cs="Times New Roman"/>
          <w:sz w:val="24"/>
          <w:szCs w:val="24"/>
        </w:rPr>
        <w:t>ab)  lakóhelye</w:t>
      </w:r>
      <w:proofErr w:type="gramEnd"/>
      <w:r w:rsidRPr="00C24D76">
        <w:rPr>
          <w:rFonts w:ascii="Times New Roman" w:hAnsi="Times New Roman" w:cs="Times New Roman"/>
          <w:sz w:val="24"/>
          <w:szCs w:val="24"/>
        </w:rPr>
        <w:t xml:space="preserve"> címét, szervezet esetén </w:t>
      </w:r>
      <w:proofErr w:type="spellStart"/>
      <w:r w:rsidRPr="00C24D76">
        <w:rPr>
          <w:rFonts w:ascii="Times New Roman" w:hAnsi="Times New Roman" w:cs="Times New Roman"/>
          <w:sz w:val="24"/>
          <w:szCs w:val="24"/>
        </w:rPr>
        <w:t>székhelyté</w:t>
      </w:r>
      <w:proofErr w:type="spellEnd"/>
    </w:p>
    <w:p w14:paraId="61FCFE33" w14:textId="77777777" w:rsidR="00C24D76" w:rsidRPr="00C24D76" w:rsidRDefault="00C24D76" w:rsidP="00C24D76">
      <w:pPr>
        <w:jc w:val="both"/>
        <w:rPr>
          <w:rFonts w:ascii="Times New Roman" w:hAnsi="Times New Roman" w:cs="Times New Roman"/>
          <w:sz w:val="24"/>
          <w:szCs w:val="24"/>
        </w:rPr>
      </w:pPr>
      <w:proofErr w:type="spellStart"/>
      <w:proofErr w:type="gramStart"/>
      <w:r w:rsidRPr="00C24D76">
        <w:rPr>
          <w:rFonts w:ascii="Times New Roman" w:hAnsi="Times New Roman" w:cs="Times New Roman"/>
          <w:sz w:val="24"/>
          <w:szCs w:val="24"/>
        </w:rPr>
        <w:t>ac</w:t>
      </w:r>
      <w:proofErr w:type="spellEnd"/>
      <w:r w:rsidRPr="00C24D76">
        <w:rPr>
          <w:rFonts w:ascii="Times New Roman" w:hAnsi="Times New Roman" w:cs="Times New Roman"/>
          <w:sz w:val="24"/>
          <w:szCs w:val="24"/>
        </w:rPr>
        <w:t>)  levelezési</w:t>
      </w:r>
      <w:proofErr w:type="gramEnd"/>
      <w:r w:rsidRPr="00C24D76">
        <w:rPr>
          <w:rFonts w:ascii="Times New Roman" w:hAnsi="Times New Roman" w:cs="Times New Roman"/>
          <w:sz w:val="24"/>
          <w:szCs w:val="24"/>
        </w:rPr>
        <w:t xml:space="preserve"> címét, ha az a lakóhely, szervezet esetén székhely címétől eltér</w:t>
      </w:r>
    </w:p>
    <w:p w14:paraId="41B0D00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a kérelemmel érintett ingatlan, ingatlanok pontos címét, helyrajzi számát vagy ingatlanhoz nem köthető szakkérdés esetén annak rövid kifejtését.</w:t>
      </w:r>
    </w:p>
    <w:p w14:paraId="372A87A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Előzetes időpont egyeztetés céljából telefonos vagy elektronikus elérhetőség is megadható, de a tájékoztatás és a szakmai konzultáció csak személyesen folytatható le.</w:t>
      </w:r>
    </w:p>
    <w:p w14:paraId="75A2A79E"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 kérelem beérkezésétől számított 8 napon belül a kérelmezőt az általa megadott elérhetőségek valamelyikén a szakmai konzultáció kitűzött időpontjáról értesíteni kell.</w:t>
      </w:r>
    </w:p>
    <w:p w14:paraId="7C05611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(4) A konzultációról készült emlékeztetőt az önkormányzat nyilvántartásba veszi.</w:t>
      </w:r>
    </w:p>
    <w:p w14:paraId="15B3931E" w14:textId="77777777" w:rsidR="00C24D76" w:rsidRPr="00C24D76" w:rsidRDefault="00C24D76" w:rsidP="00C24D76">
      <w:pPr>
        <w:jc w:val="center"/>
        <w:rPr>
          <w:rFonts w:ascii="Times New Roman" w:hAnsi="Times New Roman" w:cs="Times New Roman"/>
          <w:b/>
          <w:bCs/>
          <w:sz w:val="24"/>
          <w:szCs w:val="24"/>
        </w:rPr>
      </w:pPr>
    </w:p>
    <w:p w14:paraId="726B8D81" w14:textId="591BAC73"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3. A településképi bejelentési eljárás</w:t>
      </w:r>
    </w:p>
    <w:p w14:paraId="23208D7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21. §</w:t>
      </w:r>
      <w:r w:rsidRPr="00C24D76">
        <w:rPr>
          <w:rFonts w:ascii="Times New Roman" w:hAnsi="Times New Roman" w:cs="Times New Roman"/>
          <w:sz w:val="24"/>
          <w:szCs w:val="24"/>
        </w:rPr>
        <w:t> (1) Településképi bejelentési eljárást folytat le a polgármester építési tevékenység megkezdése előtt a rendelet a 24.§-ban meghatározott esetekben.</w:t>
      </w:r>
    </w:p>
    <w:p w14:paraId="32DFF4F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polgármester településképi bejelentéssel kapcsolatos véleményét a főépítész szakmai véleményére is alapozhatja.</w:t>
      </w:r>
    </w:p>
    <w:p w14:paraId="54C535F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Az eljárást e célra rendszeresített, a 3. mellékletben szereplő nyomtatványon lehet kezdeményezni.</w:t>
      </w:r>
    </w:p>
    <w:p w14:paraId="2CB4323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22. §</w:t>
      </w:r>
      <w:r w:rsidRPr="00C24D76">
        <w:rPr>
          <w:rFonts w:ascii="Times New Roman" w:hAnsi="Times New Roman" w:cs="Times New Roman"/>
          <w:sz w:val="24"/>
          <w:szCs w:val="24"/>
        </w:rPr>
        <w:t xml:space="preserve"> (1) </w:t>
      </w:r>
      <w:proofErr w:type="gramStart"/>
      <w:r w:rsidRPr="00C24D76">
        <w:rPr>
          <w:rFonts w:ascii="Times New Roman" w:hAnsi="Times New Roman" w:cs="Times New Roman"/>
          <w:sz w:val="24"/>
          <w:szCs w:val="24"/>
        </w:rPr>
        <w:t>Településképi  bejelentési</w:t>
      </w:r>
      <w:proofErr w:type="gramEnd"/>
      <w:r w:rsidRPr="00C24D76">
        <w:rPr>
          <w:rFonts w:ascii="Times New Roman" w:hAnsi="Times New Roman" w:cs="Times New Roman"/>
          <w:sz w:val="24"/>
          <w:szCs w:val="24"/>
        </w:rPr>
        <w:t xml:space="preserve">  eljárással  érintett  építési  tevékenység  esetén  a telepítéssel, építészeti kialakítással kapcsolatos részletes vizsgálati szempontok:</w:t>
      </w:r>
    </w:p>
    <w:p w14:paraId="17F6B6D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tervezett megoldás léptékében, arányaiban megfelelően illeszkedik–e a kialakult településszerkezetbe,</w:t>
      </w:r>
    </w:p>
    <w:p w14:paraId="6ED0B6D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b) teljesíti-e az egyes eltérő karakterű településképpel rendelkezői községrészek esetében a településképi szempontokkal kapcsolatos tömegalakítási, homlokzatformálási, anyaghasználati követelményeket,</w:t>
      </w:r>
    </w:p>
    <w:p w14:paraId="5803F99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illeszkedik-e a környezetébe, figyelembe veszi-e a környező beépítés sajátosságait,</w:t>
      </w:r>
    </w:p>
    <w:p w14:paraId="2B8A6CB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A bejelentési eljárás lefolytatása alapján a kérelem tárgyának fennmaradási érvényessége a határozat kiállításának dátumától számítva:</w:t>
      </w:r>
    </w:p>
    <w:p w14:paraId="7879B36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állandó építmény esetén végleges,</w:t>
      </w:r>
    </w:p>
    <w:p w14:paraId="6FE420C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legfeljebb 180 napig fennálló építmény esetén 180 nap,</w:t>
      </w:r>
    </w:p>
    <w:p w14:paraId="1DC957B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reklámcélú hirdetmény és hirdető-berendezés a bérleti szerződés lejártáig, vagy a rendeltetési egység működésének befejezéséig, befejezésének időpontjáig.</w:t>
      </w:r>
    </w:p>
    <w:p w14:paraId="5036EBF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23. §</w:t>
      </w:r>
      <w:r w:rsidRPr="00C24D76">
        <w:rPr>
          <w:rFonts w:ascii="Times New Roman" w:hAnsi="Times New Roman" w:cs="Times New Roman"/>
          <w:sz w:val="24"/>
          <w:szCs w:val="24"/>
        </w:rPr>
        <w:t> (1) A bejelentés tárgyától függően a településképi bejelentési eljárással érintett építési tevékenységgel összefüggő épület, építmény, berendezés, bútor építészeti- műszaki tervének munkarészei:</w:t>
      </w:r>
    </w:p>
    <w:p w14:paraId="6607061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bejelentés tárgyának helyét, vonatkozó adatait, méreteit, tágabb összefüggő területet és szomszédos épületeket feltüntető helyszínrajz,</w:t>
      </w:r>
    </w:p>
    <w:p w14:paraId="3681BCB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b) épület, építmény - kitelepülésnél berendezés, bútor - esetében </w:t>
      </w:r>
      <w:proofErr w:type="spellStart"/>
      <w:r w:rsidRPr="00C24D76">
        <w:rPr>
          <w:rFonts w:ascii="Times New Roman" w:hAnsi="Times New Roman" w:cs="Times New Roman"/>
          <w:sz w:val="24"/>
          <w:szCs w:val="24"/>
        </w:rPr>
        <w:t>ba</w:t>
      </w:r>
      <w:proofErr w:type="spellEnd"/>
      <w:r w:rsidRPr="00C24D76">
        <w:rPr>
          <w:rFonts w:ascii="Times New Roman" w:hAnsi="Times New Roman" w:cs="Times New Roman"/>
          <w:sz w:val="24"/>
          <w:szCs w:val="24"/>
        </w:rPr>
        <w:t>) alaprajzok,</w:t>
      </w:r>
    </w:p>
    <w:p w14:paraId="2A322EFF"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bb</w:t>
      </w:r>
      <w:proofErr w:type="spellEnd"/>
      <w:r w:rsidRPr="00C24D76">
        <w:rPr>
          <w:rFonts w:ascii="Times New Roman" w:hAnsi="Times New Roman" w:cs="Times New Roman"/>
          <w:sz w:val="24"/>
          <w:szCs w:val="24"/>
        </w:rPr>
        <w:t>) megértéshez szükséges számú metszet,</w:t>
      </w:r>
    </w:p>
    <w:p w14:paraId="6241B70A"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bc</w:t>
      </w:r>
      <w:proofErr w:type="spellEnd"/>
      <w:r w:rsidRPr="00C24D76">
        <w:rPr>
          <w:rFonts w:ascii="Times New Roman" w:hAnsi="Times New Roman" w:cs="Times New Roman"/>
          <w:sz w:val="24"/>
          <w:szCs w:val="24"/>
        </w:rPr>
        <w:t>) minden eltérő megjelenésű homlokzat, vagy nézet,</w:t>
      </w:r>
    </w:p>
    <w:p w14:paraId="0E17E2A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műszaki leírás, leírás a beépítési adatok, méretek, szerkezeti, építészeti megoldások feltüntetésével</w:t>
      </w:r>
    </w:p>
    <w:p w14:paraId="455E3F3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a bejelentés tárgyától függően</w:t>
      </w:r>
    </w:p>
    <w:p w14:paraId="4BAAE23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da) színezett modellkép,</w:t>
      </w:r>
    </w:p>
    <w:p w14:paraId="75B5204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db) környezetbe illesztett </w:t>
      </w:r>
      <w:proofErr w:type="spellStart"/>
      <w:r w:rsidRPr="00C24D76">
        <w:rPr>
          <w:rFonts w:ascii="Times New Roman" w:hAnsi="Times New Roman" w:cs="Times New Roman"/>
          <w:sz w:val="24"/>
          <w:szCs w:val="24"/>
        </w:rPr>
        <w:t>fotorealisztikus</w:t>
      </w:r>
      <w:proofErr w:type="spellEnd"/>
      <w:r w:rsidRPr="00C24D76">
        <w:rPr>
          <w:rFonts w:ascii="Times New Roman" w:hAnsi="Times New Roman" w:cs="Times New Roman"/>
          <w:sz w:val="24"/>
          <w:szCs w:val="24"/>
        </w:rPr>
        <w:t xml:space="preserve"> településkép</w:t>
      </w:r>
    </w:p>
    <w:p w14:paraId="40A4753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dc) helyszínre illesztett látványterv</w:t>
      </w:r>
    </w:p>
    <w:p w14:paraId="0031EA5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amennyiben nem az ingatlan tulajdonosa nyújtja be a kérelmet vagy egy társasházi lakásra vonatkozik a kérelem, úgy az ingatlan tulajdonosának / társasház közös képviselőjének hozzájáruló nyilatkozata</w:t>
      </w:r>
    </w:p>
    <w:p w14:paraId="15F7F542" w14:textId="77777777" w:rsidR="00C24D76" w:rsidRPr="00C24D76" w:rsidRDefault="00C24D76" w:rsidP="00C24D76">
      <w:pPr>
        <w:jc w:val="both"/>
        <w:rPr>
          <w:rFonts w:ascii="Times New Roman" w:hAnsi="Times New Roman" w:cs="Times New Roman"/>
          <w:sz w:val="24"/>
          <w:szCs w:val="24"/>
        </w:rPr>
      </w:pPr>
      <w:bookmarkStart w:id="6" w:name="_Hlk535392951"/>
      <w:r w:rsidRPr="00C24D76">
        <w:rPr>
          <w:rFonts w:ascii="Times New Roman" w:hAnsi="Times New Roman" w:cs="Times New Roman"/>
          <w:b/>
          <w:bCs/>
          <w:sz w:val="24"/>
          <w:szCs w:val="24"/>
        </w:rPr>
        <w:t>24. §</w:t>
      </w:r>
      <w:bookmarkEnd w:id="6"/>
      <w:r w:rsidRPr="00C24D76">
        <w:rPr>
          <w:rFonts w:ascii="Times New Roman" w:hAnsi="Times New Roman" w:cs="Times New Roman"/>
          <w:sz w:val="24"/>
          <w:szCs w:val="24"/>
        </w:rPr>
        <w:t> (1) Településképi bejelentési eljárást kell lefolytatni, ha az építési tevékenységgel érintett ingatlan a településképi szempontból meghatározó területek karaktertérképén, vagy a szabályozási terven jelölt</w:t>
      </w:r>
    </w:p>
    <w:p w14:paraId="64889CC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helyi védettségű telken és közvetlen szomszédságában,</w:t>
      </w:r>
    </w:p>
    <w:p w14:paraId="67F432A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országos jelentőségű védett természeti, és NATURA 2000 előírással érintett területen,</w:t>
      </w:r>
    </w:p>
    <w:p w14:paraId="1E4910D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Településképi bejelentési eljárással érintett építési tevékenységek az 1. pontban felsorolt területeken:</w:t>
      </w:r>
    </w:p>
    <w:p w14:paraId="74178A2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helyi védelem alatt áll;</w:t>
      </w:r>
    </w:p>
    <w:p w14:paraId="461AEA2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lastRenderedPageBreak/>
        <w:t>b) tájképvédelmi övezet beépítésre nem szánt területén található;</w:t>
      </w:r>
    </w:p>
    <w:p w14:paraId="1195D62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az építési tevékenységgel érintett épület vagy építmény közterületen helyezkedik el.</w:t>
      </w:r>
    </w:p>
    <w:p w14:paraId="3C46476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közterületre tervezett, a településkép megjelenését befolyásoló, 30 napnál huzamosabb időre szánt idényjellegű, valamint tartós jellegű építményekre irányuló építési tevékenység esetén.</w:t>
      </w:r>
    </w:p>
    <w:p w14:paraId="3BA2C7BE" w14:textId="77777777" w:rsidR="00C24D76" w:rsidRDefault="00C24D76" w:rsidP="00C24D76">
      <w:pPr>
        <w:jc w:val="both"/>
        <w:rPr>
          <w:rFonts w:ascii="Times New Roman" w:hAnsi="Times New Roman" w:cs="Times New Roman"/>
          <w:sz w:val="24"/>
          <w:szCs w:val="24"/>
        </w:rPr>
      </w:pPr>
    </w:p>
    <w:p w14:paraId="78502C19" w14:textId="4AB5CDBE" w:rsidR="00C24D76" w:rsidRPr="00C24D76" w:rsidRDefault="00C24D76" w:rsidP="00C24D76">
      <w:pPr>
        <w:jc w:val="center"/>
        <w:rPr>
          <w:rFonts w:ascii="Times New Roman" w:hAnsi="Times New Roman" w:cs="Times New Roman"/>
          <w:b/>
          <w:bCs/>
          <w:sz w:val="24"/>
          <w:szCs w:val="24"/>
        </w:rPr>
      </w:pPr>
      <w:r w:rsidRPr="00C24D76">
        <w:rPr>
          <w:rFonts w:ascii="Times New Roman" w:hAnsi="Times New Roman" w:cs="Times New Roman"/>
          <w:b/>
          <w:bCs/>
          <w:sz w:val="24"/>
          <w:szCs w:val="24"/>
        </w:rPr>
        <w:t>4. A településképi kötelezési eljárás</w:t>
      </w:r>
    </w:p>
    <w:p w14:paraId="36B8B298" w14:textId="77777777" w:rsidR="00C24D76" w:rsidRPr="00C24D76" w:rsidRDefault="00C24D76" w:rsidP="00C24D76">
      <w:pPr>
        <w:jc w:val="both"/>
        <w:rPr>
          <w:rFonts w:ascii="Times New Roman" w:hAnsi="Times New Roman" w:cs="Times New Roman"/>
          <w:sz w:val="24"/>
          <w:szCs w:val="24"/>
        </w:rPr>
      </w:pPr>
      <w:proofErr w:type="gramStart"/>
      <w:r w:rsidRPr="00C24D76">
        <w:rPr>
          <w:rFonts w:ascii="Times New Roman" w:hAnsi="Times New Roman" w:cs="Times New Roman"/>
          <w:b/>
          <w:bCs/>
          <w:sz w:val="24"/>
          <w:szCs w:val="24"/>
        </w:rPr>
        <w:t>25 .</w:t>
      </w:r>
      <w:proofErr w:type="gramEnd"/>
      <w:r w:rsidRPr="00C24D76">
        <w:rPr>
          <w:rFonts w:ascii="Times New Roman" w:hAnsi="Times New Roman" w:cs="Times New Roman"/>
          <w:b/>
          <w:bCs/>
          <w:sz w:val="24"/>
          <w:szCs w:val="24"/>
        </w:rPr>
        <w:t>§</w:t>
      </w:r>
      <w:r w:rsidRPr="00C24D76">
        <w:rPr>
          <w:rFonts w:ascii="Times New Roman" w:hAnsi="Times New Roman" w:cs="Times New Roman"/>
          <w:sz w:val="24"/>
          <w:szCs w:val="24"/>
        </w:rPr>
        <w:t> (1) Településképi kötelezési eljárást folytathat le a polgármester az alábbi esetekben:</w:t>
      </w:r>
    </w:p>
    <w:p w14:paraId="66A8404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a) a helyi építészeti- és településkép védelem érdekében, ha az építmény- és környezete műszaki, esztétikai állapota, vagy annak használati módja nem felel meg a településképi rendelet előírásainak, </w:t>
      </w:r>
      <w:proofErr w:type="gramStart"/>
      <w:r w:rsidRPr="00C24D76">
        <w:rPr>
          <w:rFonts w:ascii="Times New Roman" w:hAnsi="Times New Roman" w:cs="Times New Roman"/>
          <w:sz w:val="24"/>
          <w:szCs w:val="24"/>
        </w:rPr>
        <w:t>különösen</w:t>
      </w:r>
      <w:proofErr w:type="gramEnd"/>
      <w:r w:rsidRPr="00C24D76">
        <w:rPr>
          <w:rFonts w:ascii="Times New Roman" w:hAnsi="Times New Roman" w:cs="Times New Roman"/>
          <w:sz w:val="24"/>
          <w:szCs w:val="24"/>
        </w:rPr>
        <w:t xml:space="preserve"> ha:</w:t>
      </w:r>
    </w:p>
    <w:p w14:paraId="5FB662BE"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aa</w:t>
      </w:r>
      <w:proofErr w:type="spellEnd"/>
      <w:r w:rsidRPr="00C24D76">
        <w:rPr>
          <w:rFonts w:ascii="Times New Roman" w:hAnsi="Times New Roman" w:cs="Times New Roman"/>
          <w:sz w:val="24"/>
          <w:szCs w:val="24"/>
        </w:rPr>
        <w:t>) homlokzati elemei          hiányosak, töredezettek, színezése lekopott,</w:t>
      </w:r>
    </w:p>
    <w:p w14:paraId="72F6FE6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ab) nem a rendeltetésének megfelelő funkcióra használják,</w:t>
      </w:r>
    </w:p>
    <w:p w14:paraId="088A4DB3"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ac</w:t>
      </w:r>
      <w:proofErr w:type="spellEnd"/>
      <w:r w:rsidRPr="00C24D76">
        <w:rPr>
          <w:rFonts w:ascii="Times New Roman" w:hAnsi="Times New Roman" w:cs="Times New Roman"/>
          <w:sz w:val="24"/>
          <w:szCs w:val="24"/>
        </w:rPr>
        <w:t>) megjelenése, színezése az egységes községképet lerontja,</w:t>
      </w:r>
    </w:p>
    <w:p w14:paraId="3CD379CF"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ad) az építési övezetre előírt zöldfelületi           kialakítás, parkoló-fásítás, növényzettelepítés nem </w:t>
      </w:r>
      <w:proofErr w:type="gramStart"/>
      <w:r w:rsidRPr="00C24D76">
        <w:rPr>
          <w:rFonts w:ascii="Times New Roman" w:hAnsi="Times New Roman" w:cs="Times New Roman"/>
          <w:sz w:val="24"/>
          <w:szCs w:val="24"/>
        </w:rPr>
        <w:t>valósult  meg</w:t>
      </w:r>
      <w:proofErr w:type="gramEnd"/>
      <w:r w:rsidRPr="00C24D76">
        <w:rPr>
          <w:rFonts w:ascii="Times New Roman" w:hAnsi="Times New Roman" w:cs="Times New Roman"/>
          <w:sz w:val="24"/>
          <w:szCs w:val="24"/>
        </w:rPr>
        <w:t>,  hiányos,  vagy  az  elpusztult növényzet pótlása nem történt meg,</w:t>
      </w:r>
    </w:p>
    <w:p w14:paraId="17F4D35E"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ae</w:t>
      </w:r>
      <w:proofErr w:type="spellEnd"/>
      <w:r w:rsidRPr="00C24D76">
        <w:rPr>
          <w:rFonts w:ascii="Times New Roman" w:hAnsi="Times New Roman" w:cs="Times New Roman"/>
          <w:sz w:val="24"/>
          <w:szCs w:val="24"/>
        </w:rPr>
        <w:t>) a            telek     szabad területét   nem            a          területfelhasználási            előírásoknak megfelelően, településképet lerontó módon használják,</w:t>
      </w:r>
    </w:p>
    <w:p w14:paraId="265D7678"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af</w:t>
      </w:r>
      <w:proofErr w:type="spellEnd"/>
      <w:r w:rsidRPr="00C24D76">
        <w:rPr>
          <w:rFonts w:ascii="Times New Roman" w:hAnsi="Times New Roman" w:cs="Times New Roman"/>
          <w:sz w:val="24"/>
          <w:szCs w:val="24"/>
        </w:rPr>
        <w:t>) az építkezéssel érintett telek és környezete - az átmeneti állapot ideje alatt – nincs a vonatkozó előírásoknak megfelelően rendben tartva, bekerítve,</w:t>
      </w:r>
    </w:p>
    <w:p w14:paraId="6A96B1B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településképet rontó cégér, hirdető-berendezés, információs elem megszüntetése és eltávolítása érdekében, ha annak mérete, anyaga, megjelenése nem felel meg a településképi követelményeknek, különösen, ha:</w:t>
      </w:r>
    </w:p>
    <w:p w14:paraId="322C5DF9"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ba</w:t>
      </w:r>
      <w:proofErr w:type="spellEnd"/>
      <w:r w:rsidRPr="00C24D76">
        <w:rPr>
          <w:rFonts w:ascii="Times New Roman" w:hAnsi="Times New Roman" w:cs="Times New Roman"/>
          <w:sz w:val="24"/>
          <w:szCs w:val="24"/>
        </w:rPr>
        <w:t>) a megjelenített tartalom aktualitását vesztette, a megjelenített rendeltetés, vagy tevékenység megszűnt,</w:t>
      </w:r>
    </w:p>
    <w:p w14:paraId="6B1DDE8A"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bb</w:t>
      </w:r>
      <w:proofErr w:type="spellEnd"/>
      <w:r w:rsidRPr="00C24D76">
        <w:rPr>
          <w:rFonts w:ascii="Times New Roman" w:hAnsi="Times New Roman" w:cs="Times New Roman"/>
          <w:sz w:val="24"/>
          <w:szCs w:val="24"/>
        </w:rPr>
        <w:t>) nem illeszkedik a településképbe, és a jellemző községképi látványban idegen elemként jelenik meg,</w:t>
      </w:r>
    </w:p>
    <w:p w14:paraId="73EF401A"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bc</w:t>
      </w:r>
      <w:proofErr w:type="spellEnd"/>
      <w:r w:rsidRPr="00C24D76">
        <w:rPr>
          <w:rFonts w:ascii="Times New Roman" w:hAnsi="Times New Roman" w:cs="Times New Roman"/>
          <w:sz w:val="24"/>
          <w:szCs w:val="24"/>
        </w:rPr>
        <w:t>) előnytelenül változtatja meg az épület homlokzatát, tetőzetét, kirakatát, portálját,</w:t>
      </w:r>
    </w:p>
    <w:p w14:paraId="3C7B1BE8"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bd</w:t>
      </w:r>
      <w:proofErr w:type="spellEnd"/>
      <w:r w:rsidRPr="00C24D76">
        <w:rPr>
          <w:rFonts w:ascii="Times New Roman" w:hAnsi="Times New Roman" w:cs="Times New Roman"/>
          <w:sz w:val="24"/>
          <w:szCs w:val="24"/>
        </w:rPr>
        <w:t>) bejelentés nélkül helyezték el,</w:t>
      </w:r>
    </w:p>
    <w:p w14:paraId="59EA73D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be) harsány színeivel, nagy méretével, kirívó, feltűnő módon jelenik meg a községképben.</w:t>
      </w:r>
    </w:p>
    <w:p w14:paraId="126BC44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a bejelentési eljárás hatálya alá tartozó településképi elem, épület esetében:</w:t>
      </w:r>
    </w:p>
    <w:p w14:paraId="4B56575F"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ca</w:t>
      </w:r>
      <w:proofErr w:type="spellEnd"/>
      <w:r w:rsidRPr="00C24D76">
        <w:rPr>
          <w:rFonts w:ascii="Times New Roman" w:hAnsi="Times New Roman" w:cs="Times New Roman"/>
          <w:sz w:val="24"/>
          <w:szCs w:val="24"/>
        </w:rPr>
        <w:t>) ha a bejelentési kötelezettség elmulasztása ellenére megvalósították,</w:t>
      </w:r>
    </w:p>
    <w:p w14:paraId="4A62C774" w14:textId="77777777" w:rsidR="00C24D76" w:rsidRPr="00C24D76" w:rsidRDefault="00C24D76" w:rsidP="00C24D76">
      <w:pPr>
        <w:jc w:val="both"/>
        <w:rPr>
          <w:rFonts w:ascii="Times New Roman" w:hAnsi="Times New Roman" w:cs="Times New Roman"/>
          <w:sz w:val="24"/>
          <w:szCs w:val="24"/>
        </w:rPr>
      </w:pPr>
      <w:proofErr w:type="spellStart"/>
      <w:r w:rsidRPr="00C24D76">
        <w:rPr>
          <w:rFonts w:ascii="Times New Roman" w:hAnsi="Times New Roman" w:cs="Times New Roman"/>
          <w:sz w:val="24"/>
          <w:szCs w:val="24"/>
        </w:rPr>
        <w:t>cb</w:t>
      </w:r>
      <w:proofErr w:type="spellEnd"/>
      <w:r w:rsidRPr="00C24D76">
        <w:rPr>
          <w:rFonts w:ascii="Times New Roman" w:hAnsi="Times New Roman" w:cs="Times New Roman"/>
          <w:sz w:val="24"/>
          <w:szCs w:val="24"/>
        </w:rPr>
        <w:t>) ha a bejelentési eljárás során, a polgármester tiltó és figyelmeztető felhívása ellenére megvalósították,</w:t>
      </w:r>
    </w:p>
    <w:p w14:paraId="4A8A9537"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cc) nem a településképi bejelentés során kiadott határozatnak megfelelően valósul meg.</w:t>
      </w:r>
    </w:p>
    <w:p w14:paraId="418B4449" w14:textId="77777777" w:rsidR="00C24D76" w:rsidRPr="00C24D76" w:rsidRDefault="00C24D76" w:rsidP="00C24D76">
      <w:pPr>
        <w:jc w:val="both"/>
        <w:rPr>
          <w:rFonts w:ascii="Times New Roman" w:hAnsi="Times New Roman" w:cs="Times New Roman"/>
          <w:sz w:val="24"/>
          <w:szCs w:val="24"/>
        </w:rPr>
      </w:pPr>
      <w:bookmarkStart w:id="7" w:name="_Hlk522709373"/>
      <w:r w:rsidRPr="00C24D76">
        <w:rPr>
          <w:rFonts w:ascii="Times New Roman" w:hAnsi="Times New Roman" w:cs="Times New Roman"/>
          <w:sz w:val="24"/>
          <w:szCs w:val="24"/>
        </w:rPr>
        <w:lastRenderedPageBreak/>
        <w:t>(2) A polgármester a kötelezési eljárás lefolytatása előtt tájékoztatást és felhívást küld a tulajdonosnak.</w:t>
      </w:r>
      <w:bookmarkEnd w:id="7"/>
    </w:p>
    <w:p w14:paraId="16C76E2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(3) Hivatalból történő eljárás (ellenőrzési tevékenység) szabályai: A polgármester az észleléstől számított 15 napon belül megindítja az eljárást, az ingatlan tulajdonosát értesíti az eljárás megindításáról.</w:t>
      </w:r>
    </w:p>
    <w:p w14:paraId="7BDA7D0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 xml:space="preserve">(4) Az (1) bekezdésében foglaltak megszegése esetén a – (2) bekezdés szerinti felhívás </w:t>
      </w:r>
      <w:proofErr w:type="spellStart"/>
      <w:r w:rsidRPr="00C24D76">
        <w:rPr>
          <w:rFonts w:ascii="Times New Roman" w:hAnsi="Times New Roman" w:cs="Times New Roman"/>
          <w:sz w:val="24"/>
          <w:szCs w:val="24"/>
        </w:rPr>
        <w:t>eredménytelenségét</w:t>
      </w:r>
      <w:proofErr w:type="spellEnd"/>
      <w:r w:rsidRPr="00C24D76">
        <w:rPr>
          <w:rFonts w:ascii="Times New Roman" w:hAnsi="Times New Roman" w:cs="Times New Roman"/>
          <w:sz w:val="24"/>
          <w:szCs w:val="24"/>
        </w:rPr>
        <w:t xml:space="preserve"> követően – a polgármester önkormányzati településképvédelmi bírságot szab ki, amelynek összege legfeljebb 200 000 forint.</w:t>
      </w:r>
    </w:p>
    <w:p w14:paraId="07FB56BB"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(5) Az önkormányzati településképvédelmi bírság kiszabásánál a hatóság mérlegeli különösen:</w:t>
      </w:r>
    </w:p>
    <w:p w14:paraId="503AE7AC"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a) a jogsértéssel okozott hátrányt, ideértve a hátrány megelőzésével, elhárításával, helyreállításával kapcsolatban felmerült költségeket és a jogsértéssel elért előny mértékét,</w:t>
      </w:r>
    </w:p>
    <w:p w14:paraId="7ED6A3F9"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b) a jogsértéssel okozott hátrány visszafordíthatóságát,</w:t>
      </w:r>
    </w:p>
    <w:p w14:paraId="0B5D7648"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c) a jogsértéssel érintettek körének nagyságát,</w:t>
      </w:r>
    </w:p>
    <w:p w14:paraId="1B8F4E26"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d) a jogsértő állapot időtartamát,</w:t>
      </w:r>
    </w:p>
    <w:p w14:paraId="63B5BECD"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e) a jogsértő magatartás ismétlődését és gyakoriságát,</w:t>
      </w:r>
    </w:p>
    <w:p w14:paraId="4E65A4C0"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f) a jogsértést elkövető eljárást segítő, együttműködő magatartását, valamint</w:t>
      </w:r>
    </w:p>
    <w:p w14:paraId="2C6E3145"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g) a jogsértést elkövető gazdasági súlyát.</w:t>
      </w:r>
    </w:p>
    <w:p w14:paraId="1A64DD8A" w14:textId="77777777" w:rsidR="00C24D76" w:rsidRPr="00C24D76" w:rsidRDefault="00C24D76" w:rsidP="00C24D76">
      <w:pPr>
        <w:jc w:val="both"/>
        <w:rPr>
          <w:rFonts w:ascii="Times New Roman" w:hAnsi="Times New Roman" w:cs="Times New Roman"/>
          <w:sz w:val="24"/>
          <w:szCs w:val="24"/>
        </w:rPr>
      </w:pPr>
    </w:p>
    <w:p w14:paraId="2A93B6D3"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sz w:val="24"/>
          <w:szCs w:val="24"/>
        </w:rPr>
        <w:t>VI. FEJEZET</w:t>
      </w:r>
    </w:p>
    <w:p w14:paraId="7FD97F43" w14:textId="77777777" w:rsidR="00C24D76" w:rsidRPr="00C24D76" w:rsidRDefault="00C24D76" w:rsidP="00C24D76">
      <w:pPr>
        <w:jc w:val="center"/>
        <w:rPr>
          <w:rFonts w:ascii="Times New Roman" w:hAnsi="Times New Roman" w:cs="Times New Roman"/>
          <w:sz w:val="24"/>
          <w:szCs w:val="24"/>
        </w:rPr>
      </w:pPr>
      <w:r w:rsidRPr="00C24D76">
        <w:rPr>
          <w:rFonts w:ascii="Times New Roman" w:hAnsi="Times New Roman" w:cs="Times New Roman"/>
          <w:b/>
          <w:bCs/>
          <w:sz w:val="24"/>
          <w:szCs w:val="24"/>
        </w:rPr>
        <w:t>ZÁRÓ ÉS ÁTMENETI RENDELKEZÉSEK</w:t>
      </w:r>
    </w:p>
    <w:p w14:paraId="55F41989" w14:textId="77777777" w:rsidR="00C24D76" w:rsidRPr="00C24D76" w:rsidRDefault="00C24D76" w:rsidP="00C24D76">
      <w:pPr>
        <w:jc w:val="both"/>
        <w:rPr>
          <w:rFonts w:ascii="Times New Roman" w:hAnsi="Times New Roman" w:cs="Times New Roman"/>
          <w:sz w:val="24"/>
          <w:szCs w:val="24"/>
        </w:rPr>
      </w:pPr>
    </w:p>
    <w:p w14:paraId="108481B3"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b/>
          <w:bCs/>
          <w:sz w:val="24"/>
          <w:szCs w:val="24"/>
        </w:rPr>
        <w:t>26.§</w:t>
      </w:r>
      <w:proofErr w:type="gramStart"/>
      <w:r w:rsidRPr="00C24D76">
        <w:rPr>
          <w:rFonts w:ascii="Times New Roman" w:hAnsi="Times New Roman" w:cs="Times New Roman"/>
          <w:b/>
          <w:bCs/>
          <w:sz w:val="24"/>
          <w:szCs w:val="24"/>
        </w:rPr>
        <w:t> </w:t>
      </w:r>
      <w:r w:rsidRPr="00C24D76">
        <w:rPr>
          <w:rFonts w:ascii="Times New Roman" w:hAnsi="Times New Roman" w:cs="Times New Roman"/>
          <w:sz w:val="24"/>
          <w:szCs w:val="24"/>
        </w:rPr>
        <w:t>  (</w:t>
      </w:r>
      <w:proofErr w:type="gramEnd"/>
      <w:r w:rsidRPr="00C24D76">
        <w:rPr>
          <w:rFonts w:ascii="Times New Roman" w:hAnsi="Times New Roman" w:cs="Times New Roman"/>
          <w:sz w:val="24"/>
          <w:szCs w:val="24"/>
        </w:rPr>
        <w:t>1) Ez a rendelet 2019. február 15. napján lép hatályba.</w:t>
      </w:r>
    </w:p>
    <w:p w14:paraId="46707D34" w14:textId="77777777" w:rsidR="00C24D76" w:rsidRPr="00C24D76" w:rsidRDefault="00C24D76" w:rsidP="00C24D76">
      <w:pPr>
        <w:jc w:val="both"/>
        <w:rPr>
          <w:rFonts w:ascii="Times New Roman" w:hAnsi="Times New Roman" w:cs="Times New Roman"/>
          <w:sz w:val="24"/>
          <w:szCs w:val="24"/>
        </w:rPr>
      </w:pPr>
      <w:r w:rsidRPr="00C24D76">
        <w:rPr>
          <w:rFonts w:ascii="Times New Roman" w:hAnsi="Times New Roman" w:cs="Times New Roman"/>
          <w:sz w:val="24"/>
          <w:szCs w:val="24"/>
        </w:rPr>
        <w:t>(2) </w:t>
      </w:r>
      <w:bookmarkStart w:id="8" w:name="_Hlk522710877"/>
      <w:r w:rsidRPr="00C24D76">
        <w:rPr>
          <w:rFonts w:ascii="Times New Roman" w:hAnsi="Times New Roman" w:cs="Times New Roman"/>
          <w:sz w:val="24"/>
          <w:szCs w:val="24"/>
        </w:rPr>
        <w:t>E rendelet hatálybalépésével egyidejűleg h</w:t>
      </w:r>
      <w:bookmarkEnd w:id="8"/>
      <w:r w:rsidRPr="00C24D76">
        <w:rPr>
          <w:rFonts w:ascii="Times New Roman" w:hAnsi="Times New Roman" w:cs="Times New Roman"/>
          <w:sz w:val="24"/>
          <w:szCs w:val="24"/>
        </w:rPr>
        <w:t>atályát veszti Vasszécseny </w:t>
      </w:r>
      <w:bookmarkStart w:id="9" w:name="_Hlk513802777"/>
      <w:r w:rsidRPr="00C24D76">
        <w:rPr>
          <w:rFonts w:ascii="Times New Roman" w:hAnsi="Times New Roman" w:cs="Times New Roman"/>
          <w:sz w:val="24"/>
          <w:szCs w:val="24"/>
        </w:rPr>
        <w:t>Község Önkormányzata Képviselő-testületének </w:t>
      </w:r>
      <w:bookmarkEnd w:id="9"/>
      <w:r w:rsidRPr="00C24D76">
        <w:rPr>
          <w:rFonts w:ascii="Times New Roman" w:hAnsi="Times New Roman" w:cs="Times New Roman"/>
          <w:sz w:val="24"/>
          <w:szCs w:val="24"/>
        </w:rPr>
        <w:t>a reklámok, reklámhordozók és cégérek elhelyezésének, alkalmazásának következményeiről, feltételeiről és tilalmáról és a településképi bejelentési eljárásról szóló 9/2017. (XII.1.) önkormányzati rendelete.</w:t>
      </w:r>
    </w:p>
    <w:p w14:paraId="561DD155" w14:textId="77777777" w:rsidR="00EF329E" w:rsidRDefault="00EF329E"/>
    <w:sectPr w:rsidR="00EF32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B04B4"/>
    <w:multiLevelType w:val="multilevel"/>
    <w:tmpl w:val="4696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6052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D76"/>
    <w:rsid w:val="00C24D76"/>
    <w:rsid w:val="00EF32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8778"/>
  <w15:chartTrackingRefBased/>
  <w15:docId w15:val="{EAFFAE8A-EA54-4583-BA0F-03E4820BD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19552">
      <w:bodyDiv w:val="1"/>
      <w:marLeft w:val="0"/>
      <w:marRight w:val="0"/>
      <w:marTop w:val="0"/>
      <w:marBottom w:val="0"/>
      <w:divBdr>
        <w:top w:val="none" w:sz="0" w:space="0" w:color="auto"/>
        <w:left w:val="none" w:sz="0" w:space="0" w:color="auto"/>
        <w:bottom w:val="none" w:sz="0" w:space="0" w:color="auto"/>
        <w:right w:val="none" w:sz="0" w:space="0" w:color="auto"/>
      </w:divBdr>
      <w:divsChild>
        <w:div w:id="1390491939">
          <w:marLeft w:val="0"/>
          <w:marRight w:val="0"/>
          <w:marTop w:val="0"/>
          <w:marBottom w:val="0"/>
          <w:divBdr>
            <w:top w:val="none" w:sz="0" w:space="0" w:color="auto"/>
            <w:left w:val="none" w:sz="0" w:space="0" w:color="auto"/>
            <w:bottom w:val="none" w:sz="0" w:space="0" w:color="auto"/>
            <w:right w:val="none" w:sz="0" w:space="0" w:color="auto"/>
          </w:divBdr>
        </w:div>
        <w:div w:id="1677658387">
          <w:marLeft w:val="0"/>
          <w:marRight w:val="0"/>
          <w:marTop w:val="0"/>
          <w:marBottom w:val="0"/>
          <w:divBdr>
            <w:top w:val="none" w:sz="0" w:space="0" w:color="auto"/>
            <w:left w:val="none" w:sz="0" w:space="0" w:color="auto"/>
            <w:bottom w:val="none" w:sz="0" w:space="0" w:color="auto"/>
            <w:right w:val="none" w:sz="0" w:space="0" w:color="auto"/>
          </w:divBdr>
        </w:div>
        <w:div w:id="496071283">
          <w:marLeft w:val="0"/>
          <w:marRight w:val="0"/>
          <w:marTop w:val="0"/>
          <w:marBottom w:val="0"/>
          <w:divBdr>
            <w:top w:val="none" w:sz="0" w:space="0" w:color="auto"/>
            <w:left w:val="none" w:sz="0" w:space="0" w:color="auto"/>
            <w:bottom w:val="none" w:sz="0" w:space="0" w:color="auto"/>
            <w:right w:val="none" w:sz="0" w:space="0" w:color="auto"/>
          </w:divBdr>
        </w:div>
        <w:div w:id="1443916116">
          <w:marLeft w:val="0"/>
          <w:marRight w:val="0"/>
          <w:marTop w:val="0"/>
          <w:marBottom w:val="0"/>
          <w:divBdr>
            <w:top w:val="none" w:sz="0" w:space="0" w:color="auto"/>
            <w:left w:val="none" w:sz="0" w:space="0" w:color="auto"/>
            <w:bottom w:val="none" w:sz="0" w:space="0" w:color="auto"/>
            <w:right w:val="none" w:sz="0" w:space="0" w:color="auto"/>
          </w:divBdr>
        </w:div>
        <w:div w:id="1978295051">
          <w:marLeft w:val="0"/>
          <w:marRight w:val="0"/>
          <w:marTop w:val="0"/>
          <w:marBottom w:val="0"/>
          <w:divBdr>
            <w:top w:val="none" w:sz="0" w:space="0" w:color="auto"/>
            <w:left w:val="none" w:sz="0" w:space="0" w:color="auto"/>
            <w:bottom w:val="none" w:sz="0" w:space="0" w:color="auto"/>
            <w:right w:val="none" w:sz="0" w:space="0" w:color="auto"/>
          </w:divBdr>
        </w:div>
        <w:div w:id="1066805557">
          <w:marLeft w:val="0"/>
          <w:marRight w:val="0"/>
          <w:marTop w:val="0"/>
          <w:marBottom w:val="0"/>
          <w:divBdr>
            <w:top w:val="none" w:sz="0" w:space="0" w:color="auto"/>
            <w:left w:val="none" w:sz="0" w:space="0" w:color="auto"/>
            <w:bottom w:val="none" w:sz="0" w:space="0" w:color="auto"/>
            <w:right w:val="none" w:sz="0" w:space="0" w:color="auto"/>
          </w:divBdr>
        </w:div>
        <w:div w:id="1902445975">
          <w:marLeft w:val="0"/>
          <w:marRight w:val="0"/>
          <w:marTop w:val="0"/>
          <w:marBottom w:val="0"/>
          <w:divBdr>
            <w:top w:val="none" w:sz="0" w:space="0" w:color="auto"/>
            <w:left w:val="none" w:sz="0" w:space="0" w:color="auto"/>
            <w:bottom w:val="none" w:sz="0" w:space="0" w:color="auto"/>
            <w:right w:val="none" w:sz="0" w:space="0" w:color="auto"/>
          </w:divBdr>
        </w:div>
        <w:div w:id="66811489">
          <w:marLeft w:val="0"/>
          <w:marRight w:val="0"/>
          <w:marTop w:val="0"/>
          <w:marBottom w:val="0"/>
          <w:divBdr>
            <w:top w:val="none" w:sz="0" w:space="0" w:color="auto"/>
            <w:left w:val="none" w:sz="0" w:space="0" w:color="auto"/>
            <w:bottom w:val="none" w:sz="0" w:space="0" w:color="auto"/>
            <w:right w:val="none" w:sz="0" w:space="0" w:color="auto"/>
          </w:divBdr>
        </w:div>
        <w:div w:id="521671492">
          <w:marLeft w:val="0"/>
          <w:marRight w:val="0"/>
          <w:marTop w:val="0"/>
          <w:marBottom w:val="0"/>
          <w:divBdr>
            <w:top w:val="none" w:sz="0" w:space="0" w:color="auto"/>
            <w:left w:val="none" w:sz="0" w:space="0" w:color="auto"/>
            <w:bottom w:val="none" w:sz="0" w:space="0" w:color="auto"/>
            <w:right w:val="none" w:sz="0" w:space="0" w:color="auto"/>
          </w:divBdr>
        </w:div>
        <w:div w:id="588731640">
          <w:marLeft w:val="0"/>
          <w:marRight w:val="0"/>
          <w:marTop w:val="0"/>
          <w:marBottom w:val="0"/>
          <w:divBdr>
            <w:top w:val="none" w:sz="0" w:space="0" w:color="auto"/>
            <w:left w:val="none" w:sz="0" w:space="0" w:color="auto"/>
            <w:bottom w:val="none" w:sz="0" w:space="0" w:color="auto"/>
            <w:right w:val="none" w:sz="0" w:space="0" w:color="auto"/>
          </w:divBdr>
        </w:div>
        <w:div w:id="1216745018">
          <w:marLeft w:val="0"/>
          <w:marRight w:val="0"/>
          <w:marTop w:val="0"/>
          <w:marBottom w:val="0"/>
          <w:divBdr>
            <w:top w:val="none" w:sz="0" w:space="0" w:color="auto"/>
            <w:left w:val="none" w:sz="0" w:space="0" w:color="auto"/>
            <w:bottom w:val="none" w:sz="0" w:space="0" w:color="auto"/>
            <w:right w:val="none" w:sz="0" w:space="0" w:color="auto"/>
          </w:divBdr>
        </w:div>
        <w:div w:id="1143741134">
          <w:marLeft w:val="0"/>
          <w:marRight w:val="0"/>
          <w:marTop w:val="0"/>
          <w:marBottom w:val="0"/>
          <w:divBdr>
            <w:top w:val="none" w:sz="0" w:space="0" w:color="auto"/>
            <w:left w:val="none" w:sz="0" w:space="0" w:color="auto"/>
            <w:bottom w:val="none" w:sz="0" w:space="0" w:color="auto"/>
            <w:right w:val="none" w:sz="0" w:space="0" w:color="auto"/>
          </w:divBdr>
        </w:div>
        <w:div w:id="1722947608">
          <w:marLeft w:val="0"/>
          <w:marRight w:val="0"/>
          <w:marTop w:val="0"/>
          <w:marBottom w:val="0"/>
          <w:divBdr>
            <w:top w:val="none" w:sz="0" w:space="0" w:color="auto"/>
            <w:left w:val="none" w:sz="0" w:space="0" w:color="auto"/>
            <w:bottom w:val="none" w:sz="0" w:space="0" w:color="auto"/>
            <w:right w:val="none" w:sz="0" w:space="0" w:color="auto"/>
          </w:divBdr>
        </w:div>
        <w:div w:id="1550075191">
          <w:marLeft w:val="0"/>
          <w:marRight w:val="0"/>
          <w:marTop w:val="0"/>
          <w:marBottom w:val="0"/>
          <w:divBdr>
            <w:top w:val="none" w:sz="0" w:space="0" w:color="auto"/>
            <w:left w:val="none" w:sz="0" w:space="0" w:color="auto"/>
            <w:bottom w:val="none" w:sz="0" w:space="0" w:color="auto"/>
            <w:right w:val="none" w:sz="0" w:space="0" w:color="auto"/>
          </w:divBdr>
        </w:div>
        <w:div w:id="1630473415">
          <w:marLeft w:val="0"/>
          <w:marRight w:val="0"/>
          <w:marTop w:val="0"/>
          <w:marBottom w:val="0"/>
          <w:divBdr>
            <w:top w:val="none" w:sz="0" w:space="0" w:color="auto"/>
            <w:left w:val="none" w:sz="0" w:space="0" w:color="auto"/>
            <w:bottom w:val="none" w:sz="0" w:space="0" w:color="auto"/>
            <w:right w:val="none" w:sz="0" w:space="0" w:color="auto"/>
          </w:divBdr>
        </w:div>
        <w:div w:id="1065294350">
          <w:marLeft w:val="0"/>
          <w:marRight w:val="0"/>
          <w:marTop w:val="0"/>
          <w:marBottom w:val="0"/>
          <w:divBdr>
            <w:top w:val="none" w:sz="0" w:space="0" w:color="auto"/>
            <w:left w:val="none" w:sz="0" w:space="0" w:color="auto"/>
            <w:bottom w:val="none" w:sz="0" w:space="0" w:color="auto"/>
            <w:right w:val="none" w:sz="0" w:space="0" w:color="auto"/>
          </w:divBdr>
        </w:div>
        <w:div w:id="207498801">
          <w:marLeft w:val="0"/>
          <w:marRight w:val="0"/>
          <w:marTop w:val="0"/>
          <w:marBottom w:val="0"/>
          <w:divBdr>
            <w:top w:val="none" w:sz="0" w:space="0" w:color="auto"/>
            <w:left w:val="none" w:sz="0" w:space="0" w:color="auto"/>
            <w:bottom w:val="none" w:sz="0" w:space="0" w:color="auto"/>
            <w:right w:val="none" w:sz="0" w:space="0" w:color="auto"/>
          </w:divBdr>
        </w:div>
        <w:div w:id="456681985">
          <w:marLeft w:val="0"/>
          <w:marRight w:val="0"/>
          <w:marTop w:val="0"/>
          <w:marBottom w:val="0"/>
          <w:divBdr>
            <w:top w:val="none" w:sz="0" w:space="0" w:color="auto"/>
            <w:left w:val="none" w:sz="0" w:space="0" w:color="auto"/>
            <w:bottom w:val="none" w:sz="0" w:space="0" w:color="auto"/>
            <w:right w:val="none" w:sz="0" w:space="0" w:color="auto"/>
          </w:divBdr>
        </w:div>
        <w:div w:id="1111246311">
          <w:marLeft w:val="0"/>
          <w:marRight w:val="0"/>
          <w:marTop w:val="0"/>
          <w:marBottom w:val="0"/>
          <w:divBdr>
            <w:top w:val="none" w:sz="0" w:space="0" w:color="auto"/>
            <w:left w:val="none" w:sz="0" w:space="0" w:color="auto"/>
            <w:bottom w:val="none" w:sz="0" w:space="0" w:color="auto"/>
            <w:right w:val="none" w:sz="0" w:space="0" w:color="auto"/>
          </w:divBdr>
        </w:div>
        <w:div w:id="1364135837">
          <w:marLeft w:val="0"/>
          <w:marRight w:val="0"/>
          <w:marTop w:val="0"/>
          <w:marBottom w:val="0"/>
          <w:divBdr>
            <w:top w:val="none" w:sz="0" w:space="0" w:color="auto"/>
            <w:left w:val="none" w:sz="0" w:space="0" w:color="auto"/>
            <w:bottom w:val="none" w:sz="0" w:space="0" w:color="auto"/>
            <w:right w:val="none" w:sz="0" w:space="0" w:color="auto"/>
          </w:divBdr>
        </w:div>
        <w:div w:id="124853950">
          <w:marLeft w:val="0"/>
          <w:marRight w:val="0"/>
          <w:marTop w:val="0"/>
          <w:marBottom w:val="0"/>
          <w:divBdr>
            <w:top w:val="none" w:sz="0" w:space="0" w:color="auto"/>
            <w:left w:val="none" w:sz="0" w:space="0" w:color="auto"/>
            <w:bottom w:val="none" w:sz="0" w:space="0" w:color="auto"/>
            <w:right w:val="none" w:sz="0" w:space="0" w:color="auto"/>
          </w:divBdr>
        </w:div>
        <w:div w:id="32970907">
          <w:marLeft w:val="0"/>
          <w:marRight w:val="0"/>
          <w:marTop w:val="0"/>
          <w:marBottom w:val="0"/>
          <w:divBdr>
            <w:top w:val="none" w:sz="0" w:space="0" w:color="auto"/>
            <w:left w:val="none" w:sz="0" w:space="0" w:color="auto"/>
            <w:bottom w:val="none" w:sz="0" w:space="0" w:color="auto"/>
            <w:right w:val="none" w:sz="0" w:space="0" w:color="auto"/>
          </w:divBdr>
        </w:div>
        <w:div w:id="18548116">
          <w:marLeft w:val="0"/>
          <w:marRight w:val="0"/>
          <w:marTop w:val="0"/>
          <w:marBottom w:val="0"/>
          <w:divBdr>
            <w:top w:val="none" w:sz="0" w:space="0" w:color="auto"/>
            <w:left w:val="none" w:sz="0" w:space="0" w:color="auto"/>
            <w:bottom w:val="none" w:sz="0" w:space="0" w:color="auto"/>
            <w:right w:val="none" w:sz="0" w:space="0" w:color="auto"/>
          </w:divBdr>
        </w:div>
        <w:div w:id="238567041">
          <w:marLeft w:val="0"/>
          <w:marRight w:val="0"/>
          <w:marTop w:val="0"/>
          <w:marBottom w:val="0"/>
          <w:divBdr>
            <w:top w:val="none" w:sz="0" w:space="0" w:color="auto"/>
            <w:left w:val="none" w:sz="0" w:space="0" w:color="auto"/>
            <w:bottom w:val="none" w:sz="0" w:space="0" w:color="auto"/>
            <w:right w:val="none" w:sz="0" w:space="0" w:color="auto"/>
          </w:divBdr>
        </w:div>
        <w:div w:id="1842036950">
          <w:marLeft w:val="0"/>
          <w:marRight w:val="0"/>
          <w:marTop w:val="0"/>
          <w:marBottom w:val="0"/>
          <w:divBdr>
            <w:top w:val="none" w:sz="0" w:space="0" w:color="auto"/>
            <w:left w:val="none" w:sz="0" w:space="0" w:color="auto"/>
            <w:bottom w:val="none" w:sz="0" w:space="0" w:color="auto"/>
            <w:right w:val="none" w:sz="0" w:space="0" w:color="auto"/>
          </w:divBdr>
        </w:div>
        <w:div w:id="1987321034">
          <w:marLeft w:val="0"/>
          <w:marRight w:val="0"/>
          <w:marTop w:val="0"/>
          <w:marBottom w:val="0"/>
          <w:divBdr>
            <w:top w:val="none" w:sz="0" w:space="0" w:color="auto"/>
            <w:left w:val="none" w:sz="0" w:space="0" w:color="auto"/>
            <w:bottom w:val="none" w:sz="0" w:space="0" w:color="auto"/>
            <w:right w:val="none" w:sz="0" w:space="0" w:color="auto"/>
          </w:divBdr>
        </w:div>
        <w:div w:id="63916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3364</Words>
  <Characters>23219</Characters>
  <Application>Microsoft Office Word</Application>
  <DocSecurity>0</DocSecurity>
  <Lines>193</Lines>
  <Paragraphs>53</Paragraphs>
  <ScaleCrop>false</ScaleCrop>
  <Company/>
  <LinksUpToDate>false</LinksUpToDate>
  <CharactersWithSpaces>26530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2022-08-02T06:21:00Z</dcterms:created>
  <dcterms:modified xsi:type="dcterms:W3CDTF">2022-08-02T06:26:00Z</dcterms:modified>
</cp:coreProperties>
</file>